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BC" w:rsidRPr="007D01E3" w:rsidRDefault="004A731B" w:rsidP="007D01E3">
      <w:pPr>
        <w:rPr>
          <w:sz w:val="20"/>
          <w:szCs w:val="20"/>
        </w:rPr>
      </w:pPr>
      <w:r w:rsidRPr="007D01E3">
        <w:rPr>
          <w:sz w:val="20"/>
          <w:szCs w:val="20"/>
        </w:rPr>
        <w:t>Pre</w:t>
      </w:r>
      <w:r w:rsidR="00896544" w:rsidRPr="007D01E3">
        <w:rPr>
          <w:sz w:val="20"/>
          <w:szCs w:val="20"/>
        </w:rPr>
        <w:t>-C</w:t>
      </w:r>
      <w:r w:rsidRPr="007D01E3">
        <w:rPr>
          <w:sz w:val="20"/>
          <w:szCs w:val="20"/>
        </w:rPr>
        <w:t>onference</w:t>
      </w:r>
      <w:r w:rsidR="00E13A00">
        <w:rPr>
          <w:sz w:val="20"/>
          <w:szCs w:val="20"/>
        </w:rPr>
        <w:t xml:space="preserve">: </w:t>
      </w:r>
      <w:r w:rsidR="00896544" w:rsidRPr="007D01E3">
        <w:rPr>
          <w:sz w:val="20"/>
          <w:szCs w:val="20"/>
        </w:rPr>
        <w:t xml:space="preserve">March </w:t>
      </w:r>
      <w:r w:rsidR="007D01E3">
        <w:rPr>
          <w:sz w:val="20"/>
          <w:szCs w:val="20"/>
        </w:rPr>
        <w:t>29</w:t>
      </w:r>
      <w:r w:rsidR="00896544" w:rsidRPr="007D01E3">
        <w:rPr>
          <w:sz w:val="20"/>
          <w:szCs w:val="20"/>
        </w:rPr>
        <w:t>th</w:t>
      </w:r>
    </w:p>
    <w:p w:rsidR="00F6590B" w:rsidRPr="007D01E3" w:rsidRDefault="009C0F7A" w:rsidP="007D01E3">
      <w:pPr>
        <w:rPr>
          <w:sz w:val="20"/>
          <w:szCs w:val="20"/>
        </w:rPr>
      </w:pPr>
      <w:r w:rsidRPr="007D01E3">
        <w:rPr>
          <w:sz w:val="20"/>
          <w:szCs w:val="20"/>
        </w:rPr>
        <w:t>Please initial next to the lectures attended. CME Certificates will be emailed as PDF.</w:t>
      </w:r>
    </w:p>
    <w:tbl>
      <w:tblPr>
        <w:tblStyle w:val="TableGrid"/>
        <w:tblW w:w="4976" w:type="pct"/>
        <w:tblLook w:val="04A0" w:firstRow="1" w:lastRow="0" w:firstColumn="1" w:lastColumn="0" w:noHBand="0" w:noVBand="1"/>
      </w:tblPr>
      <w:tblGrid>
        <w:gridCol w:w="752"/>
        <w:gridCol w:w="772"/>
        <w:gridCol w:w="8006"/>
      </w:tblGrid>
      <w:tr w:rsidR="0049185D" w:rsidRPr="007D01E3" w:rsidTr="0049185D">
        <w:trPr>
          <w:trHeight w:val="293"/>
        </w:trPr>
        <w:tc>
          <w:tcPr>
            <w:tcW w:w="398" w:type="pct"/>
          </w:tcPr>
          <w:p w:rsidR="0049185D" w:rsidRPr="007D01E3" w:rsidRDefault="0049185D" w:rsidP="0049185D">
            <w:pPr>
              <w:rPr>
                <w:b/>
                <w:sz w:val="20"/>
                <w:szCs w:val="20"/>
              </w:rPr>
            </w:pPr>
            <w:r w:rsidRPr="007D01E3">
              <w:rPr>
                <w:b/>
                <w:sz w:val="20"/>
                <w:szCs w:val="20"/>
              </w:rPr>
              <w:t>CME</w:t>
            </w:r>
          </w:p>
        </w:tc>
        <w:tc>
          <w:tcPr>
            <w:tcW w:w="398" w:type="pct"/>
          </w:tcPr>
          <w:p w:rsidR="0049185D" w:rsidRPr="007D01E3" w:rsidRDefault="0049185D" w:rsidP="0049185D">
            <w:pPr>
              <w:rPr>
                <w:b/>
                <w:sz w:val="20"/>
                <w:szCs w:val="20"/>
              </w:rPr>
            </w:pPr>
            <w:r w:rsidRPr="007D01E3">
              <w:rPr>
                <w:b/>
                <w:sz w:val="20"/>
                <w:szCs w:val="20"/>
              </w:rPr>
              <w:t>Initial</w:t>
            </w:r>
            <w:r>
              <w:rPr>
                <w:b/>
                <w:sz w:val="20"/>
                <w:szCs w:val="20"/>
              </w:rPr>
              <w:t>s</w:t>
            </w:r>
          </w:p>
        </w:tc>
        <w:tc>
          <w:tcPr>
            <w:tcW w:w="4204" w:type="pct"/>
          </w:tcPr>
          <w:p w:rsidR="0049185D" w:rsidRPr="007D01E3" w:rsidRDefault="0049185D" w:rsidP="0049185D">
            <w:pPr>
              <w:rPr>
                <w:b/>
                <w:sz w:val="20"/>
                <w:szCs w:val="20"/>
              </w:rPr>
            </w:pPr>
            <w:r w:rsidRPr="007D01E3">
              <w:rPr>
                <w:sz w:val="20"/>
                <w:szCs w:val="20"/>
              </w:rPr>
              <w:t>Pediatric Urgent Care for the Non-Pediatric Provider</w:t>
            </w:r>
          </w:p>
        </w:tc>
      </w:tr>
      <w:tr w:rsidR="0049185D" w:rsidRPr="007D01E3" w:rsidTr="0049185D">
        <w:trPr>
          <w:trHeight w:val="325"/>
        </w:trPr>
        <w:tc>
          <w:tcPr>
            <w:tcW w:w="398" w:type="pct"/>
          </w:tcPr>
          <w:p w:rsidR="0049185D" w:rsidRPr="007D01E3" w:rsidRDefault="0049185D" w:rsidP="0049185D">
            <w:pPr>
              <w:rPr>
                <w:rFonts w:eastAsiaTheme="minorEastAsia"/>
                <w:sz w:val="20"/>
                <w:szCs w:val="20"/>
              </w:rPr>
            </w:pPr>
            <w:r>
              <w:rPr>
                <w:rFonts w:eastAsiaTheme="minorEastAsia"/>
                <w:sz w:val="20"/>
                <w:szCs w:val="20"/>
              </w:rPr>
              <w:t>1</w:t>
            </w:r>
          </w:p>
        </w:tc>
        <w:tc>
          <w:tcPr>
            <w:tcW w:w="398" w:type="pct"/>
          </w:tcPr>
          <w:p w:rsidR="0049185D" w:rsidRPr="007D01E3" w:rsidRDefault="0049185D" w:rsidP="0049185D">
            <w:pPr>
              <w:rPr>
                <w:sz w:val="20"/>
                <w:szCs w:val="20"/>
              </w:rPr>
            </w:pPr>
          </w:p>
        </w:tc>
        <w:tc>
          <w:tcPr>
            <w:tcW w:w="4204" w:type="pct"/>
          </w:tcPr>
          <w:p w:rsidR="0049185D" w:rsidRDefault="0049185D" w:rsidP="0049185D">
            <w:pPr>
              <w:rPr>
                <w:rFonts w:eastAsiaTheme="minorEastAsia"/>
                <w:sz w:val="20"/>
                <w:szCs w:val="20"/>
              </w:rPr>
            </w:pPr>
            <w:r w:rsidRPr="007D01E3">
              <w:rPr>
                <w:rFonts w:eastAsiaTheme="minorEastAsia"/>
                <w:sz w:val="20"/>
                <w:szCs w:val="20"/>
              </w:rPr>
              <w:t>Pediatric Assessment: How to examine the screaming infant</w:t>
            </w:r>
            <w:r>
              <w:rPr>
                <w:rFonts w:eastAsiaTheme="minorEastAsia"/>
                <w:sz w:val="20"/>
                <w:szCs w:val="20"/>
              </w:rPr>
              <w:t xml:space="preserve"> </w:t>
            </w:r>
            <w:r w:rsidRPr="007D01E3">
              <w:rPr>
                <w:rFonts w:eastAsiaTheme="minorEastAsia"/>
                <w:sz w:val="20"/>
                <w:szCs w:val="20"/>
              </w:rPr>
              <w:t>(and other tips)</w:t>
            </w:r>
            <w:r>
              <w:rPr>
                <w:rFonts w:eastAsiaTheme="minorEastAsia"/>
                <w:sz w:val="20"/>
                <w:szCs w:val="20"/>
              </w:rPr>
              <w:t>.</w:t>
            </w:r>
          </w:p>
          <w:p w:rsidR="0049185D" w:rsidRPr="007D01E3" w:rsidRDefault="0049185D" w:rsidP="0049185D">
            <w:pPr>
              <w:rPr>
                <w:rFonts w:eastAsiaTheme="minorEastAsia"/>
                <w:sz w:val="20"/>
                <w:szCs w:val="20"/>
              </w:rPr>
            </w:pPr>
            <w:r w:rsidRPr="007D01E3">
              <w:rPr>
                <w:rFonts w:eastAsiaTheme="minorEastAsia"/>
                <w:sz w:val="20"/>
                <w:szCs w:val="20"/>
              </w:rPr>
              <w:t xml:space="preserve">Karin Sadow </w:t>
            </w:r>
          </w:p>
        </w:tc>
      </w:tr>
      <w:tr w:rsidR="0049185D" w:rsidRPr="007D01E3" w:rsidTr="0049185D">
        <w:trPr>
          <w:trHeight w:val="325"/>
        </w:trPr>
        <w:tc>
          <w:tcPr>
            <w:tcW w:w="398" w:type="pct"/>
          </w:tcPr>
          <w:p w:rsidR="0049185D" w:rsidRPr="007D01E3" w:rsidRDefault="0049185D" w:rsidP="0049185D">
            <w:pPr>
              <w:rPr>
                <w:sz w:val="20"/>
                <w:szCs w:val="20"/>
              </w:rPr>
            </w:pPr>
            <w:r w:rsidRPr="007D01E3">
              <w:rPr>
                <w:sz w:val="20"/>
                <w:szCs w:val="20"/>
              </w:rPr>
              <w:t>1</w:t>
            </w:r>
          </w:p>
        </w:tc>
        <w:tc>
          <w:tcPr>
            <w:tcW w:w="398" w:type="pct"/>
          </w:tcPr>
          <w:p w:rsidR="0049185D" w:rsidRPr="007D01E3" w:rsidRDefault="0049185D" w:rsidP="0049185D">
            <w:pPr>
              <w:rPr>
                <w:sz w:val="20"/>
                <w:szCs w:val="20"/>
              </w:rPr>
            </w:pPr>
          </w:p>
        </w:tc>
        <w:tc>
          <w:tcPr>
            <w:tcW w:w="4204" w:type="pct"/>
          </w:tcPr>
          <w:p w:rsidR="0049185D" w:rsidRDefault="0049185D" w:rsidP="0049185D">
            <w:pPr>
              <w:rPr>
                <w:sz w:val="20"/>
                <w:szCs w:val="20"/>
              </w:rPr>
            </w:pPr>
            <w:r w:rsidRPr="007D01E3">
              <w:rPr>
                <w:sz w:val="20"/>
                <w:szCs w:val="20"/>
              </w:rPr>
              <w:t>The Febrile Infant: Who needs a workup?</w:t>
            </w:r>
          </w:p>
          <w:p w:rsidR="0049185D" w:rsidRPr="007D01E3" w:rsidRDefault="0049185D" w:rsidP="0049185D">
            <w:pPr>
              <w:rPr>
                <w:sz w:val="20"/>
                <w:szCs w:val="20"/>
              </w:rPr>
            </w:pPr>
            <w:r w:rsidRPr="007D01E3">
              <w:rPr>
                <w:sz w:val="20"/>
                <w:szCs w:val="20"/>
              </w:rPr>
              <w:t>Elliot Friedman</w:t>
            </w:r>
          </w:p>
        </w:tc>
      </w:tr>
      <w:tr w:rsidR="0049185D" w:rsidRPr="007D01E3" w:rsidTr="0049185D">
        <w:trPr>
          <w:trHeight w:val="314"/>
        </w:trPr>
        <w:tc>
          <w:tcPr>
            <w:tcW w:w="398" w:type="pct"/>
            <w:shd w:val="clear" w:color="auto" w:fill="FFFFFF" w:themeFill="background1"/>
          </w:tcPr>
          <w:p w:rsidR="0049185D" w:rsidRPr="007D01E3" w:rsidRDefault="0049185D" w:rsidP="0049185D">
            <w:pPr>
              <w:rPr>
                <w:sz w:val="20"/>
                <w:szCs w:val="20"/>
              </w:rPr>
            </w:pPr>
            <w:r w:rsidRPr="007D01E3">
              <w:rPr>
                <w:sz w:val="20"/>
                <w:szCs w:val="20"/>
              </w:rPr>
              <w:t>1</w:t>
            </w:r>
          </w:p>
        </w:tc>
        <w:tc>
          <w:tcPr>
            <w:tcW w:w="398" w:type="pct"/>
            <w:shd w:val="clear" w:color="auto" w:fill="FFFFFF" w:themeFill="background1"/>
          </w:tcPr>
          <w:p w:rsidR="0049185D" w:rsidRPr="007D01E3" w:rsidRDefault="0049185D" w:rsidP="0049185D">
            <w:pPr>
              <w:rPr>
                <w:sz w:val="20"/>
                <w:szCs w:val="20"/>
              </w:rPr>
            </w:pPr>
          </w:p>
        </w:tc>
        <w:tc>
          <w:tcPr>
            <w:tcW w:w="4204" w:type="pct"/>
            <w:shd w:val="clear" w:color="auto" w:fill="FFFFFF" w:themeFill="background1"/>
          </w:tcPr>
          <w:p w:rsidR="0049185D" w:rsidRDefault="0049185D" w:rsidP="0049185D">
            <w:pPr>
              <w:rPr>
                <w:sz w:val="20"/>
                <w:szCs w:val="20"/>
              </w:rPr>
            </w:pPr>
            <w:r>
              <w:rPr>
                <w:sz w:val="20"/>
                <w:szCs w:val="20"/>
              </w:rPr>
              <w:t>Pediatric Respiratory Review</w:t>
            </w:r>
          </w:p>
          <w:p w:rsidR="0049185D" w:rsidRPr="007D01E3" w:rsidRDefault="0049185D" w:rsidP="0049185D">
            <w:pPr>
              <w:rPr>
                <w:sz w:val="20"/>
                <w:szCs w:val="20"/>
              </w:rPr>
            </w:pPr>
            <w:r w:rsidRPr="007D01E3">
              <w:rPr>
                <w:sz w:val="20"/>
                <w:szCs w:val="20"/>
              </w:rPr>
              <w:t xml:space="preserve">Sheryl Cohen </w:t>
            </w:r>
          </w:p>
        </w:tc>
      </w:tr>
      <w:tr w:rsidR="0049185D" w:rsidRPr="007D01E3" w:rsidTr="0049185D">
        <w:trPr>
          <w:trHeight w:val="314"/>
        </w:trPr>
        <w:tc>
          <w:tcPr>
            <w:tcW w:w="398" w:type="pct"/>
            <w:shd w:val="clear" w:color="auto" w:fill="FFFFFF" w:themeFill="background1"/>
          </w:tcPr>
          <w:p w:rsidR="0049185D" w:rsidRPr="007D01E3" w:rsidRDefault="0049185D" w:rsidP="0049185D">
            <w:pPr>
              <w:rPr>
                <w:sz w:val="20"/>
                <w:szCs w:val="20"/>
              </w:rPr>
            </w:pPr>
            <w:r w:rsidRPr="007D01E3">
              <w:rPr>
                <w:sz w:val="20"/>
                <w:szCs w:val="20"/>
              </w:rPr>
              <w:t>1</w:t>
            </w:r>
          </w:p>
        </w:tc>
        <w:tc>
          <w:tcPr>
            <w:tcW w:w="398" w:type="pct"/>
            <w:shd w:val="clear" w:color="auto" w:fill="FFFFFF" w:themeFill="background1"/>
          </w:tcPr>
          <w:p w:rsidR="0049185D" w:rsidRPr="007D01E3" w:rsidRDefault="0049185D" w:rsidP="0049185D">
            <w:pPr>
              <w:rPr>
                <w:sz w:val="20"/>
                <w:szCs w:val="20"/>
              </w:rPr>
            </w:pPr>
          </w:p>
        </w:tc>
        <w:tc>
          <w:tcPr>
            <w:tcW w:w="4204" w:type="pct"/>
            <w:shd w:val="clear" w:color="auto" w:fill="FFFFFF" w:themeFill="background1"/>
          </w:tcPr>
          <w:p w:rsidR="0049185D" w:rsidRDefault="0049185D" w:rsidP="0049185D">
            <w:pPr>
              <w:rPr>
                <w:sz w:val="20"/>
                <w:szCs w:val="20"/>
              </w:rPr>
            </w:pPr>
            <w:r w:rsidRPr="007D01E3">
              <w:rPr>
                <w:sz w:val="20"/>
                <w:szCs w:val="20"/>
              </w:rPr>
              <w:t>Pediatric Orthopedic Review: Chances are it’s a fracture</w:t>
            </w:r>
            <w:r>
              <w:rPr>
                <w:sz w:val="20"/>
                <w:szCs w:val="20"/>
              </w:rPr>
              <w:t>.</w:t>
            </w:r>
          </w:p>
          <w:p w:rsidR="0049185D" w:rsidRPr="007D01E3" w:rsidRDefault="0049185D" w:rsidP="0049185D">
            <w:pPr>
              <w:rPr>
                <w:sz w:val="20"/>
                <w:szCs w:val="20"/>
              </w:rPr>
            </w:pPr>
            <w:r w:rsidRPr="007D01E3">
              <w:rPr>
                <w:sz w:val="20"/>
                <w:szCs w:val="20"/>
              </w:rPr>
              <w:t xml:space="preserve">Alla Shenkman </w:t>
            </w:r>
          </w:p>
        </w:tc>
      </w:tr>
      <w:tr w:rsidR="0049185D" w:rsidRPr="007D01E3" w:rsidTr="0049185D">
        <w:trPr>
          <w:trHeight w:val="325"/>
        </w:trPr>
        <w:tc>
          <w:tcPr>
            <w:tcW w:w="398" w:type="pct"/>
          </w:tcPr>
          <w:p w:rsidR="0049185D" w:rsidRPr="007D01E3" w:rsidRDefault="0049185D" w:rsidP="0049185D">
            <w:pPr>
              <w:rPr>
                <w:sz w:val="20"/>
                <w:szCs w:val="20"/>
              </w:rPr>
            </w:pPr>
            <w:r w:rsidRPr="007D01E3">
              <w:rPr>
                <w:sz w:val="20"/>
                <w:szCs w:val="20"/>
              </w:rPr>
              <w:t>1</w:t>
            </w:r>
          </w:p>
        </w:tc>
        <w:tc>
          <w:tcPr>
            <w:tcW w:w="398" w:type="pct"/>
          </w:tcPr>
          <w:p w:rsidR="0049185D" w:rsidRPr="007D01E3" w:rsidRDefault="0049185D" w:rsidP="0049185D">
            <w:pPr>
              <w:rPr>
                <w:sz w:val="20"/>
                <w:szCs w:val="20"/>
              </w:rPr>
            </w:pPr>
          </w:p>
        </w:tc>
        <w:tc>
          <w:tcPr>
            <w:tcW w:w="4204" w:type="pct"/>
          </w:tcPr>
          <w:p w:rsidR="0049185D" w:rsidRDefault="0049185D" w:rsidP="0049185D">
            <w:pPr>
              <w:rPr>
                <w:sz w:val="20"/>
                <w:szCs w:val="20"/>
              </w:rPr>
            </w:pPr>
            <w:r>
              <w:rPr>
                <w:sz w:val="20"/>
                <w:szCs w:val="20"/>
              </w:rPr>
              <w:t>Pediatric GI Review.</w:t>
            </w:r>
          </w:p>
          <w:p w:rsidR="0049185D" w:rsidRPr="007D01E3" w:rsidRDefault="0049185D" w:rsidP="0049185D">
            <w:pPr>
              <w:rPr>
                <w:sz w:val="20"/>
                <w:szCs w:val="20"/>
              </w:rPr>
            </w:pPr>
            <w:r w:rsidRPr="007D01E3">
              <w:rPr>
                <w:sz w:val="20"/>
                <w:szCs w:val="20"/>
              </w:rPr>
              <w:t>Sheryl Cohen</w:t>
            </w:r>
          </w:p>
        </w:tc>
      </w:tr>
      <w:tr w:rsidR="0049185D" w:rsidRPr="007D01E3" w:rsidTr="0049185D">
        <w:trPr>
          <w:trHeight w:val="314"/>
        </w:trPr>
        <w:tc>
          <w:tcPr>
            <w:tcW w:w="398" w:type="pct"/>
            <w:tcBorders>
              <w:bottom w:val="single" w:sz="4" w:space="0" w:color="auto"/>
            </w:tcBorders>
          </w:tcPr>
          <w:p w:rsidR="0049185D" w:rsidRPr="007D01E3" w:rsidRDefault="0049185D" w:rsidP="0049185D">
            <w:pPr>
              <w:rPr>
                <w:sz w:val="20"/>
                <w:szCs w:val="20"/>
              </w:rPr>
            </w:pPr>
            <w:r w:rsidRPr="007D01E3">
              <w:rPr>
                <w:sz w:val="20"/>
                <w:szCs w:val="20"/>
              </w:rPr>
              <w:t>1</w:t>
            </w:r>
          </w:p>
        </w:tc>
        <w:tc>
          <w:tcPr>
            <w:tcW w:w="398" w:type="pct"/>
            <w:tcBorders>
              <w:bottom w:val="single" w:sz="4" w:space="0" w:color="auto"/>
            </w:tcBorders>
          </w:tcPr>
          <w:p w:rsidR="0049185D" w:rsidRPr="007D01E3" w:rsidRDefault="0049185D" w:rsidP="0049185D">
            <w:pPr>
              <w:rPr>
                <w:sz w:val="20"/>
                <w:szCs w:val="20"/>
              </w:rPr>
            </w:pPr>
          </w:p>
        </w:tc>
        <w:tc>
          <w:tcPr>
            <w:tcW w:w="4204" w:type="pct"/>
            <w:tcBorders>
              <w:bottom w:val="single" w:sz="4" w:space="0" w:color="auto"/>
            </w:tcBorders>
          </w:tcPr>
          <w:p w:rsidR="0049185D" w:rsidRDefault="0049185D" w:rsidP="0049185D">
            <w:pPr>
              <w:rPr>
                <w:sz w:val="20"/>
                <w:szCs w:val="20"/>
              </w:rPr>
            </w:pPr>
            <w:r w:rsidRPr="007D01E3">
              <w:rPr>
                <w:sz w:val="20"/>
                <w:szCs w:val="20"/>
              </w:rPr>
              <w:t>Pediatric Red Flags – How to recognize a sick child</w:t>
            </w:r>
          </w:p>
          <w:p w:rsidR="0049185D" w:rsidRPr="007D01E3" w:rsidRDefault="0049185D" w:rsidP="0049185D">
            <w:pPr>
              <w:rPr>
                <w:sz w:val="20"/>
                <w:szCs w:val="20"/>
              </w:rPr>
            </w:pPr>
            <w:r w:rsidRPr="007D01E3">
              <w:rPr>
                <w:sz w:val="20"/>
                <w:szCs w:val="20"/>
              </w:rPr>
              <w:t>Christina Johns</w:t>
            </w:r>
          </w:p>
        </w:tc>
      </w:tr>
      <w:tr w:rsidR="0049185D" w:rsidRPr="007D01E3" w:rsidTr="0049185D">
        <w:tc>
          <w:tcPr>
            <w:tcW w:w="398" w:type="pct"/>
          </w:tcPr>
          <w:p w:rsidR="0049185D" w:rsidRPr="007D01E3" w:rsidRDefault="0049185D" w:rsidP="0049185D">
            <w:pPr>
              <w:rPr>
                <w:sz w:val="20"/>
                <w:szCs w:val="20"/>
              </w:rPr>
            </w:pPr>
            <w:r w:rsidRPr="007D01E3">
              <w:rPr>
                <w:sz w:val="20"/>
                <w:szCs w:val="20"/>
              </w:rPr>
              <w:t>2</w:t>
            </w:r>
          </w:p>
        </w:tc>
        <w:tc>
          <w:tcPr>
            <w:tcW w:w="398" w:type="pct"/>
          </w:tcPr>
          <w:p w:rsidR="0049185D" w:rsidRPr="007D01E3" w:rsidRDefault="0049185D" w:rsidP="0049185D">
            <w:pPr>
              <w:rPr>
                <w:sz w:val="20"/>
                <w:szCs w:val="20"/>
              </w:rPr>
            </w:pPr>
          </w:p>
        </w:tc>
        <w:tc>
          <w:tcPr>
            <w:tcW w:w="4204" w:type="pct"/>
          </w:tcPr>
          <w:p w:rsidR="0049185D" w:rsidRDefault="0049185D" w:rsidP="0049185D">
            <w:pPr>
              <w:rPr>
                <w:sz w:val="20"/>
                <w:szCs w:val="20"/>
              </w:rPr>
            </w:pPr>
            <w:r w:rsidRPr="007D01E3">
              <w:rPr>
                <w:sz w:val="20"/>
                <w:szCs w:val="20"/>
              </w:rPr>
              <w:t>Splinting</w:t>
            </w:r>
            <w:r>
              <w:rPr>
                <w:sz w:val="20"/>
                <w:szCs w:val="20"/>
              </w:rPr>
              <w:t xml:space="preserve"> Workshop</w:t>
            </w:r>
          </w:p>
          <w:p w:rsidR="0049185D" w:rsidRPr="007D01E3" w:rsidRDefault="0049185D" w:rsidP="0049185D">
            <w:pPr>
              <w:rPr>
                <w:sz w:val="20"/>
                <w:szCs w:val="20"/>
              </w:rPr>
            </w:pPr>
            <w:r>
              <w:rPr>
                <w:sz w:val="20"/>
                <w:szCs w:val="20"/>
              </w:rPr>
              <w:t>Andre Persaud et al.</w:t>
            </w:r>
          </w:p>
        </w:tc>
      </w:tr>
    </w:tbl>
    <w:p w:rsidR="00483C9F" w:rsidRDefault="00483C9F" w:rsidP="007D01E3">
      <w:pPr>
        <w:rPr>
          <w:b/>
          <w:sz w:val="20"/>
          <w:szCs w:val="20"/>
        </w:rPr>
      </w:pPr>
    </w:p>
    <w:p w:rsidR="00690396" w:rsidRPr="007D01E3" w:rsidRDefault="009C0F7A" w:rsidP="007D01E3">
      <w:pPr>
        <w:rPr>
          <w:b/>
          <w:sz w:val="20"/>
          <w:szCs w:val="20"/>
        </w:rPr>
      </w:pPr>
      <w:r w:rsidRPr="007D01E3">
        <w:rPr>
          <w:b/>
          <w:sz w:val="20"/>
          <w:szCs w:val="20"/>
        </w:rPr>
        <w:t xml:space="preserve">I have attended the above lectures and </w:t>
      </w:r>
      <w:r w:rsidR="007D01E3" w:rsidRPr="007D01E3">
        <w:rPr>
          <w:b/>
          <w:sz w:val="20"/>
          <w:szCs w:val="20"/>
        </w:rPr>
        <w:t>claim _</w:t>
      </w:r>
      <w:r w:rsidRPr="007D01E3">
        <w:rPr>
          <w:b/>
          <w:sz w:val="20"/>
          <w:szCs w:val="20"/>
        </w:rPr>
        <w:t xml:space="preserve">__ credits (max </w:t>
      </w:r>
      <w:r w:rsidR="00E9068B">
        <w:rPr>
          <w:b/>
          <w:sz w:val="20"/>
          <w:szCs w:val="20"/>
        </w:rPr>
        <w:t>8</w:t>
      </w:r>
      <w:r w:rsidRPr="007D01E3">
        <w:rPr>
          <w:b/>
          <w:sz w:val="20"/>
          <w:szCs w:val="20"/>
        </w:rPr>
        <w:t>)</w:t>
      </w:r>
    </w:p>
    <w:p w:rsidR="009C0F7A" w:rsidRDefault="009C0F7A" w:rsidP="007D01E3">
      <w:pPr>
        <w:rPr>
          <w:b/>
          <w:sz w:val="20"/>
          <w:szCs w:val="20"/>
        </w:rPr>
      </w:pPr>
      <w:r w:rsidRPr="007D01E3">
        <w:rPr>
          <w:b/>
          <w:sz w:val="20"/>
          <w:szCs w:val="20"/>
        </w:rPr>
        <w:t>Name:</w:t>
      </w:r>
    </w:p>
    <w:p w:rsidR="00483C9F" w:rsidRPr="007D01E3" w:rsidRDefault="00483C9F" w:rsidP="007D01E3">
      <w:pPr>
        <w:rPr>
          <w:b/>
          <w:sz w:val="20"/>
          <w:szCs w:val="20"/>
        </w:rPr>
      </w:pPr>
    </w:p>
    <w:p w:rsidR="009C0F7A" w:rsidRPr="007D01E3" w:rsidRDefault="009C0F7A" w:rsidP="007D01E3">
      <w:pPr>
        <w:rPr>
          <w:b/>
          <w:sz w:val="20"/>
          <w:szCs w:val="20"/>
        </w:rPr>
      </w:pPr>
      <w:r w:rsidRPr="007D01E3">
        <w:rPr>
          <w:b/>
          <w:sz w:val="20"/>
          <w:szCs w:val="20"/>
        </w:rPr>
        <w:t>Email:</w:t>
      </w:r>
    </w:p>
    <w:p w:rsidR="00483C9F" w:rsidRPr="00483C9F" w:rsidRDefault="00483C9F" w:rsidP="00483C9F">
      <w:pPr>
        <w:shd w:val="clear" w:color="auto" w:fill="FFFFFF" w:themeFill="background1"/>
        <w:ind w:left="720" w:right="900"/>
        <w:jc w:val="both"/>
        <w:textAlignment w:val="baseline"/>
        <w:rPr>
          <w:rFonts w:ascii="Palatino Linotype,Arial" w:eastAsia="Palatino Linotype,Arial" w:hAnsi="Palatino Linotype,Arial" w:cs="Palatino Linotype,Arial"/>
          <w:color w:val="222222"/>
          <w:sz w:val="20"/>
          <w:szCs w:val="20"/>
        </w:rPr>
      </w:pPr>
      <w:r w:rsidRPr="00483C9F">
        <w:rPr>
          <w:rFonts w:ascii="Palatino Linotype,Arial" w:eastAsia="Palatino Linotype,Arial" w:hAnsi="Palatino Linotype,Arial" w:cs="Palatino Linotype,Arial"/>
          <w:color w:val="222222"/>
          <w:sz w:val="20"/>
          <w:szCs w:val="20"/>
        </w:rPr>
        <w:t>This activity has been planned and implemented in accordance with the Accreditation Requirements and Policies of the Medical Society of the State of New York (MSSNY) through the joint providership of the Westchester Academy of Medicine (WAM) and PM Pediatrics Management Group. WAM is accredited by MSSNY to provide Continuing Medical Education for physicians.</w:t>
      </w:r>
    </w:p>
    <w:p w:rsidR="00483C9F" w:rsidRPr="00483C9F" w:rsidRDefault="00483C9F" w:rsidP="00483C9F">
      <w:pPr>
        <w:shd w:val="clear" w:color="auto" w:fill="FFFFFF" w:themeFill="background1"/>
        <w:ind w:left="720" w:right="900"/>
        <w:jc w:val="both"/>
        <w:textAlignment w:val="baseline"/>
        <w:rPr>
          <w:rFonts w:ascii="Palatino Linotype,Arial" w:eastAsia="Palatino Linotype,Arial" w:hAnsi="Palatino Linotype,Arial" w:cs="Palatino Linotype,Arial"/>
          <w:color w:val="222222"/>
          <w:sz w:val="20"/>
          <w:szCs w:val="20"/>
        </w:rPr>
      </w:pPr>
      <w:r w:rsidRPr="00483C9F">
        <w:rPr>
          <w:rFonts w:ascii="Palatino Linotype,Arial" w:eastAsia="Palatino Linotype,Arial" w:hAnsi="Palatino Linotype,Arial" w:cs="Palatino Linotype,Arial"/>
          <w:color w:val="222222"/>
          <w:sz w:val="20"/>
          <w:szCs w:val="20"/>
        </w:rPr>
        <w:t> </w:t>
      </w:r>
    </w:p>
    <w:p w:rsidR="00483C9F" w:rsidRPr="00483C9F" w:rsidRDefault="00483C9F" w:rsidP="00483C9F">
      <w:pPr>
        <w:shd w:val="clear" w:color="auto" w:fill="FFFFFF" w:themeFill="background1"/>
        <w:ind w:left="720" w:right="900"/>
        <w:jc w:val="both"/>
        <w:textAlignment w:val="baseline"/>
        <w:rPr>
          <w:rFonts w:ascii="Palatino Linotype" w:hAnsi="Palatino Linotype" w:cs="Arial"/>
          <w:color w:val="222222"/>
          <w:sz w:val="20"/>
          <w:szCs w:val="20"/>
        </w:rPr>
      </w:pPr>
      <w:r w:rsidRPr="00483C9F">
        <w:rPr>
          <w:rFonts w:ascii="Palatino Linotype,Arial" w:eastAsia="Palatino Linotype,Arial" w:hAnsi="Palatino Linotype,Arial" w:cs="Palatino Linotype,Arial"/>
          <w:color w:val="222222"/>
          <w:sz w:val="20"/>
          <w:szCs w:val="20"/>
        </w:rPr>
        <w:t xml:space="preserve">WAM designates this live activity for a maximum of 8 </w:t>
      </w:r>
      <w:r w:rsidRPr="00483C9F">
        <w:rPr>
          <w:rFonts w:ascii="Palatino Linotype,Arial" w:eastAsia="Palatino Linotype,Arial" w:hAnsi="Palatino Linotype,Arial" w:cs="Palatino Linotype,Arial"/>
          <w:b/>
          <w:bCs/>
          <w:i/>
          <w:iCs/>
          <w:color w:val="222222"/>
          <w:sz w:val="20"/>
          <w:szCs w:val="20"/>
        </w:rPr>
        <w:t>AMA PRA Category I Credits</w:t>
      </w:r>
      <w:r w:rsidRPr="00483C9F">
        <w:rPr>
          <w:rFonts w:ascii="Palatino Linotype,Arial" w:eastAsia="Palatino Linotype,Arial" w:hAnsi="Palatino Linotype,Arial" w:cs="Palatino Linotype,Arial"/>
          <w:b/>
          <w:bCs/>
          <w:color w:val="222222"/>
          <w:sz w:val="20"/>
          <w:szCs w:val="20"/>
        </w:rPr>
        <w:t>™</w:t>
      </w:r>
      <w:r w:rsidRPr="00483C9F">
        <w:rPr>
          <w:rFonts w:ascii="Palatino Linotype,Arial" w:eastAsia="Palatino Linotype,Arial" w:hAnsi="Palatino Linotype,Arial" w:cs="Palatino Linotype,Arial"/>
          <w:i/>
          <w:iCs/>
          <w:color w:val="222222"/>
          <w:sz w:val="20"/>
          <w:szCs w:val="20"/>
        </w:rPr>
        <w:t>.</w:t>
      </w:r>
      <w:r w:rsidRPr="00483C9F">
        <w:rPr>
          <w:rFonts w:ascii="Palatino Linotype,Arial" w:eastAsia="Palatino Linotype,Arial" w:hAnsi="Palatino Linotype,Arial" w:cs="Palatino Linotype,Arial"/>
          <w:color w:val="222222"/>
          <w:sz w:val="20"/>
          <w:szCs w:val="20"/>
        </w:rPr>
        <w:t>  Physicians should claim only the credit commensurate with the extent of their participation in the activity.</w:t>
      </w:r>
    </w:p>
    <w:p w:rsidR="00483C9F" w:rsidRPr="00F06E99" w:rsidRDefault="00483C9F" w:rsidP="00483C9F">
      <w:pPr>
        <w:shd w:val="clear" w:color="auto" w:fill="FFFFFF" w:themeFill="background1"/>
        <w:ind w:left="720" w:right="900"/>
        <w:jc w:val="both"/>
        <w:textAlignment w:val="baseline"/>
        <w:rPr>
          <w:rFonts w:ascii="Palatino Linotype,Arial" w:eastAsia="Palatino Linotype,Arial" w:hAnsi="Palatino Linotype,Arial" w:cs="Palatino Linotype,Arial"/>
          <w:color w:val="222222"/>
        </w:rPr>
      </w:pPr>
      <w:r w:rsidRPr="66FCE54B">
        <w:rPr>
          <w:rFonts w:ascii="Palatino Linotype,Arial" w:eastAsia="Palatino Linotype,Arial" w:hAnsi="Palatino Linotype,Arial" w:cs="Palatino Linotype,Arial"/>
          <w:color w:val="222222"/>
        </w:rPr>
        <w:t> </w:t>
      </w:r>
    </w:p>
    <w:p w:rsidR="009C0F7A" w:rsidRPr="007D01E3" w:rsidRDefault="009C0F7A" w:rsidP="007D01E3">
      <w:pPr>
        <w:rPr>
          <w:sz w:val="20"/>
          <w:szCs w:val="20"/>
        </w:rPr>
      </w:pPr>
      <w:r w:rsidRPr="007D01E3">
        <w:rPr>
          <w:sz w:val="20"/>
          <w:szCs w:val="20"/>
        </w:rPr>
        <w:br w:type="page"/>
      </w:r>
    </w:p>
    <w:p w:rsidR="000B3BFA" w:rsidRPr="007D01E3" w:rsidRDefault="00E13A00" w:rsidP="007D01E3">
      <w:pPr>
        <w:rPr>
          <w:sz w:val="20"/>
          <w:szCs w:val="20"/>
        </w:rPr>
      </w:pPr>
      <w:r>
        <w:rPr>
          <w:sz w:val="20"/>
          <w:szCs w:val="20"/>
        </w:rPr>
        <w:lastRenderedPageBreak/>
        <w:t xml:space="preserve">Conference Day 1: </w:t>
      </w:r>
      <w:r w:rsidR="007D01E3">
        <w:rPr>
          <w:sz w:val="20"/>
          <w:szCs w:val="20"/>
        </w:rPr>
        <w:t>M</w:t>
      </w:r>
      <w:r w:rsidR="00F24483" w:rsidRPr="007D01E3">
        <w:rPr>
          <w:sz w:val="20"/>
          <w:szCs w:val="20"/>
        </w:rPr>
        <w:t>arch 3</w:t>
      </w:r>
      <w:r w:rsidR="007D01E3">
        <w:rPr>
          <w:sz w:val="20"/>
          <w:szCs w:val="20"/>
        </w:rPr>
        <w:t>0</w:t>
      </w:r>
      <w:r w:rsidR="00F24483" w:rsidRPr="007D01E3">
        <w:rPr>
          <w:sz w:val="20"/>
          <w:szCs w:val="20"/>
          <w:vertAlign w:val="superscript"/>
        </w:rPr>
        <w:t>th</w:t>
      </w:r>
    </w:p>
    <w:p w:rsidR="007C65FB" w:rsidRPr="007D01E3" w:rsidRDefault="007D01E3" w:rsidP="007D01E3">
      <w:pPr>
        <w:rPr>
          <w:sz w:val="20"/>
          <w:szCs w:val="20"/>
        </w:rPr>
      </w:pPr>
      <w:r w:rsidRPr="007D01E3">
        <w:rPr>
          <w:sz w:val="20"/>
          <w:szCs w:val="20"/>
        </w:rPr>
        <w:t>Please initial next to the lectures attended. CME Certificates will be emailed as PDF.</w:t>
      </w:r>
      <w:r w:rsidR="007C65FB" w:rsidRPr="007D01E3">
        <w:rPr>
          <w:sz w:val="20"/>
          <w:szCs w:val="20"/>
        </w:rPr>
        <w:tab/>
      </w:r>
      <w:r w:rsidR="007C65FB" w:rsidRPr="007D01E3">
        <w:rPr>
          <w:sz w:val="20"/>
          <w:szCs w:val="20"/>
        </w:rPr>
        <w:tab/>
      </w:r>
      <w:r w:rsidR="007C65FB" w:rsidRPr="007D01E3">
        <w:rPr>
          <w:sz w:val="20"/>
          <w:szCs w:val="20"/>
        </w:rPr>
        <w:tab/>
      </w:r>
      <w:r w:rsidR="007C65FB" w:rsidRPr="007D01E3">
        <w:rPr>
          <w:sz w:val="20"/>
          <w:szCs w:val="20"/>
        </w:rPr>
        <w:tab/>
      </w:r>
    </w:p>
    <w:tbl>
      <w:tblPr>
        <w:tblStyle w:val="TableGrid"/>
        <w:tblW w:w="5000" w:type="pct"/>
        <w:tblLook w:val="04A0" w:firstRow="1" w:lastRow="0" w:firstColumn="1" w:lastColumn="0" w:noHBand="0" w:noVBand="1"/>
      </w:tblPr>
      <w:tblGrid>
        <w:gridCol w:w="608"/>
        <w:gridCol w:w="770"/>
        <w:gridCol w:w="4108"/>
        <w:gridCol w:w="779"/>
        <w:gridCol w:w="3311"/>
      </w:tblGrid>
      <w:tr w:rsidR="0049185D" w:rsidRPr="007D01E3" w:rsidTr="00572BD5">
        <w:tc>
          <w:tcPr>
            <w:tcW w:w="317" w:type="pct"/>
          </w:tcPr>
          <w:p w:rsidR="0049185D" w:rsidRPr="007D01E3" w:rsidRDefault="0049185D" w:rsidP="0049185D">
            <w:pPr>
              <w:rPr>
                <w:sz w:val="20"/>
                <w:szCs w:val="20"/>
              </w:rPr>
            </w:pPr>
            <w:r w:rsidRPr="007D01E3">
              <w:rPr>
                <w:sz w:val="20"/>
                <w:szCs w:val="20"/>
              </w:rPr>
              <w:t>CME</w:t>
            </w:r>
          </w:p>
        </w:tc>
        <w:tc>
          <w:tcPr>
            <w:tcW w:w="402" w:type="pct"/>
          </w:tcPr>
          <w:p w:rsidR="0049185D" w:rsidRPr="007D01E3" w:rsidRDefault="0049185D" w:rsidP="0049185D">
            <w:pPr>
              <w:rPr>
                <w:sz w:val="20"/>
                <w:szCs w:val="20"/>
              </w:rPr>
            </w:pPr>
            <w:r w:rsidRPr="007D01E3">
              <w:rPr>
                <w:sz w:val="20"/>
                <w:szCs w:val="20"/>
              </w:rPr>
              <w:t>Initials</w:t>
            </w:r>
          </w:p>
        </w:tc>
        <w:tc>
          <w:tcPr>
            <w:tcW w:w="2145" w:type="pct"/>
          </w:tcPr>
          <w:p w:rsidR="0049185D" w:rsidRPr="007D01E3" w:rsidRDefault="0049185D" w:rsidP="0049185D">
            <w:pPr>
              <w:rPr>
                <w:sz w:val="20"/>
                <w:szCs w:val="20"/>
              </w:rPr>
            </w:pPr>
            <w:r w:rsidRPr="007D01E3">
              <w:rPr>
                <w:sz w:val="20"/>
                <w:szCs w:val="20"/>
              </w:rPr>
              <w:t>Core Concepts</w:t>
            </w:r>
          </w:p>
        </w:tc>
        <w:tc>
          <w:tcPr>
            <w:tcW w:w="407" w:type="pct"/>
          </w:tcPr>
          <w:p w:rsidR="0049185D" w:rsidRPr="007D01E3" w:rsidRDefault="0049185D" w:rsidP="0049185D">
            <w:pPr>
              <w:rPr>
                <w:sz w:val="20"/>
                <w:szCs w:val="20"/>
              </w:rPr>
            </w:pPr>
            <w:r>
              <w:rPr>
                <w:sz w:val="20"/>
                <w:szCs w:val="20"/>
              </w:rPr>
              <w:t>Initials</w:t>
            </w:r>
          </w:p>
        </w:tc>
        <w:tc>
          <w:tcPr>
            <w:tcW w:w="1729" w:type="pct"/>
          </w:tcPr>
          <w:p w:rsidR="0049185D" w:rsidRPr="007D01E3" w:rsidRDefault="0049185D" w:rsidP="0049185D">
            <w:pPr>
              <w:rPr>
                <w:sz w:val="20"/>
                <w:szCs w:val="20"/>
              </w:rPr>
            </w:pPr>
            <w:r w:rsidRPr="007D01E3">
              <w:rPr>
                <w:sz w:val="20"/>
                <w:szCs w:val="20"/>
              </w:rPr>
              <w:t>Emerging Concepts and Controversies</w:t>
            </w:r>
          </w:p>
        </w:tc>
      </w:tr>
      <w:tr w:rsidR="0049185D" w:rsidRPr="007D01E3" w:rsidTr="00572BD5">
        <w:tc>
          <w:tcPr>
            <w:tcW w:w="317" w:type="pct"/>
          </w:tcPr>
          <w:p w:rsidR="0049185D" w:rsidRPr="007D01E3" w:rsidRDefault="0049185D" w:rsidP="0049185D">
            <w:pPr>
              <w:rPr>
                <w:sz w:val="20"/>
                <w:szCs w:val="20"/>
              </w:rPr>
            </w:pPr>
            <w:r w:rsidRPr="007D01E3">
              <w:rPr>
                <w:sz w:val="20"/>
                <w:szCs w:val="20"/>
              </w:rPr>
              <w:t>1</w:t>
            </w:r>
          </w:p>
        </w:tc>
        <w:tc>
          <w:tcPr>
            <w:tcW w:w="402" w:type="pct"/>
          </w:tcPr>
          <w:p w:rsidR="0049185D" w:rsidRPr="007D01E3" w:rsidRDefault="0049185D" w:rsidP="0049185D">
            <w:pPr>
              <w:rPr>
                <w:sz w:val="20"/>
                <w:szCs w:val="20"/>
              </w:rPr>
            </w:pPr>
          </w:p>
        </w:tc>
        <w:tc>
          <w:tcPr>
            <w:tcW w:w="4281" w:type="pct"/>
            <w:gridSpan w:val="3"/>
          </w:tcPr>
          <w:p w:rsidR="0049185D" w:rsidRPr="007D01E3" w:rsidRDefault="0049185D" w:rsidP="0049185D">
            <w:pPr>
              <w:rPr>
                <w:sz w:val="20"/>
                <w:szCs w:val="20"/>
              </w:rPr>
            </w:pPr>
            <w:r w:rsidRPr="007D01E3">
              <w:rPr>
                <w:sz w:val="20"/>
                <w:szCs w:val="20"/>
              </w:rPr>
              <w:t xml:space="preserve">Plenary – The Future of Healthcare: Reading the Tea Leaves </w:t>
            </w:r>
          </w:p>
          <w:p w:rsidR="0049185D" w:rsidRPr="007D01E3" w:rsidRDefault="0049185D" w:rsidP="0049185D">
            <w:pPr>
              <w:rPr>
                <w:sz w:val="20"/>
                <w:szCs w:val="20"/>
              </w:rPr>
            </w:pPr>
            <w:r w:rsidRPr="007D01E3">
              <w:rPr>
                <w:sz w:val="20"/>
                <w:szCs w:val="20"/>
              </w:rPr>
              <w:t>Dr. Michael Johns</w:t>
            </w:r>
          </w:p>
        </w:tc>
      </w:tr>
      <w:tr w:rsidR="0049185D" w:rsidRPr="007D01E3" w:rsidTr="00572BD5">
        <w:tc>
          <w:tcPr>
            <w:tcW w:w="317" w:type="pct"/>
          </w:tcPr>
          <w:p w:rsidR="0049185D" w:rsidRPr="007D01E3" w:rsidRDefault="0049185D" w:rsidP="0049185D">
            <w:pPr>
              <w:rPr>
                <w:sz w:val="20"/>
                <w:szCs w:val="20"/>
              </w:rPr>
            </w:pPr>
            <w:r w:rsidRPr="007D01E3">
              <w:rPr>
                <w:sz w:val="20"/>
                <w:szCs w:val="20"/>
              </w:rPr>
              <w:t>1</w:t>
            </w:r>
          </w:p>
        </w:tc>
        <w:tc>
          <w:tcPr>
            <w:tcW w:w="402" w:type="pct"/>
          </w:tcPr>
          <w:p w:rsidR="0049185D" w:rsidRPr="007D01E3" w:rsidRDefault="0049185D" w:rsidP="0049185D">
            <w:pPr>
              <w:rPr>
                <w:sz w:val="20"/>
                <w:szCs w:val="20"/>
              </w:rPr>
            </w:pPr>
          </w:p>
        </w:tc>
        <w:tc>
          <w:tcPr>
            <w:tcW w:w="2145" w:type="pct"/>
          </w:tcPr>
          <w:p w:rsidR="0049185D" w:rsidRPr="007D01E3" w:rsidRDefault="0049185D" w:rsidP="0049185D">
            <w:pPr>
              <w:rPr>
                <w:sz w:val="20"/>
                <w:szCs w:val="20"/>
              </w:rPr>
            </w:pPr>
            <w:r w:rsidRPr="007D01E3">
              <w:rPr>
                <w:sz w:val="20"/>
                <w:szCs w:val="20"/>
              </w:rPr>
              <w:t>The ABCs of Pediatric Chest X-Ray Interpretation</w:t>
            </w:r>
          </w:p>
          <w:p w:rsidR="0049185D" w:rsidRPr="007D01E3" w:rsidRDefault="0049185D" w:rsidP="0049185D">
            <w:pPr>
              <w:rPr>
                <w:sz w:val="20"/>
                <w:szCs w:val="20"/>
              </w:rPr>
            </w:pPr>
            <w:r w:rsidRPr="007D01E3">
              <w:rPr>
                <w:sz w:val="20"/>
                <w:szCs w:val="20"/>
              </w:rPr>
              <w:t>Nikhil Shah</w:t>
            </w:r>
          </w:p>
        </w:tc>
        <w:tc>
          <w:tcPr>
            <w:tcW w:w="407" w:type="pct"/>
          </w:tcPr>
          <w:p w:rsidR="0049185D" w:rsidRPr="007D01E3" w:rsidRDefault="0049185D" w:rsidP="0049185D">
            <w:pPr>
              <w:rPr>
                <w:sz w:val="20"/>
                <w:szCs w:val="20"/>
              </w:rPr>
            </w:pPr>
          </w:p>
        </w:tc>
        <w:tc>
          <w:tcPr>
            <w:tcW w:w="1729" w:type="pct"/>
          </w:tcPr>
          <w:p w:rsidR="0049185D" w:rsidRPr="007D01E3" w:rsidRDefault="0049185D" w:rsidP="0049185D">
            <w:pPr>
              <w:rPr>
                <w:sz w:val="20"/>
                <w:szCs w:val="20"/>
              </w:rPr>
            </w:pPr>
            <w:r w:rsidRPr="007D01E3">
              <w:rPr>
                <w:sz w:val="20"/>
                <w:szCs w:val="20"/>
              </w:rPr>
              <w:t>Hot off the Press!  10 Articles That Will Change Your Practice</w:t>
            </w:r>
          </w:p>
          <w:p w:rsidR="0049185D" w:rsidRPr="007D01E3" w:rsidRDefault="0049185D" w:rsidP="0049185D">
            <w:pPr>
              <w:rPr>
                <w:sz w:val="20"/>
                <w:szCs w:val="20"/>
              </w:rPr>
            </w:pPr>
            <w:r w:rsidRPr="007D01E3">
              <w:rPr>
                <w:sz w:val="20"/>
                <w:szCs w:val="20"/>
              </w:rPr>
              <w:t>David Mathison and Toni Hogencamp</w:t>
            </w:r>
          </w:p>
        </w:tc>
      </w:tr>
      <w:tr w:rsidR="0049185D" w:rsidRPr="007D01E3" w:rsidTr="00572BD5">
        <w:tc>
          <w:tcPr>
            <w:tcW w:w="317" w:type="pct"/>
          </w:tcPr>
          <w:p w:rsidR="0049185D" w:rsidRPr="007D01E3" w:rsidRDefault="0049185D" w:rsidP="0049185D">
            <w:pPr>
              <w:rPr>
                <w:sz w:val="20"/>
                <w:szCs w:val="20"/>
              </w:rPr>
            </w:pPr>
            <w:r w:rsidRPr="007D01E3">
              <w:rPr>
                <w:sz w:val="20"/>
                <w:szCs w:val="20"/>
              </w:rPr>
              <w:t>1</w:t>
            </w:r>
          </w:p>
        </w:tc>
        <w:tc>
          <w:tcPr>
            <w:tcW w:w="402" w:type="pct"/>
          </w:tcPr>
          <w:p w:rsidR="0049185D" w:rsidRPr="007D01E3" w:rsidRDefault="0049185D" w:rsidP="0049185D">
            <w:pPr>
              <w:rPr>
                <w:sz w:val="20"/>
                <w:szCs w:val="20"/>
              </w:rPr>
            </w:pPr>
          </w:p>
        </w:tc>
        <w:tc>
          <w:tcPr>
            <w:tcW w:w="2145" w:type="pct"/>
          </w:tcPr>
          <w:p w:rsidR="0049185D" w:rsidRPr="007D01E3" w:rsidRDefault="0049185D" w:rsidP="0049185D">
            <w:pPr>
              <w:rPr>
                <w:sz w:val="20"/>
                <w:szCs w:val="20"/>
              </w:rPr>
            </w:pPr>
            <w:r w:rsidRPr="007D01E3">
              <w:rPr>
                <w:sz w:val="20"/>
                <w:szCs w:val="20"/>
              </w:rPr>
              <w:t>Beyond Amoxicillin – An Evidence-Based Approach to Otitis and Strep Pharyngitis</w:t>
            </w:r>
          </w:p>
          <w:p w:rsidR="0049185D" w:rsidRPr="007D01E3" w:rsidRDefault="0049185D" w:rsidP="0049185D">
            <w:pPr>
              <w:rPr>
                <w:sz w:val="20"/>
                <w:szCs w:val="20"/>
              </w:rPr>
            </w:pPr>
            <w:r w:rsidRPr="007D01E3">
              <w:rPr>
                <w:sz w:val="20"/>
                <w:szCs w:val="20"/>
              </w:rPr>
              <w:t>Eric Weinberg</w:t>
            </w:r>
          </w:p>
        </w:tc>
        <w:tc>
          <w:tcPr>
            <w:tcW w:w="407" w:type="pct"/>
          </w:tcPr>
          <w:p w:rsidR="0049185D" w:rsidRPr="007D01E3" w:rsidRDefault="0049185D" w:rsidP="0049185D">
            <w:pPr>
              <w:rPr>
                <w:sz w:val="20"/>
                <w:szCs w:val="20"/>
              </w:rPr>
            </w:pPr>
          </w:p>
        </w:tc>
        <w:tc>
          <w:tcPr>
            <w:tcW w:w="1729" w:type="pct"/>
          </w:tcPr>
          <w:p w:rsidR="0049185D" w:rsidRPr="007D01E3" w:rsidRDefault="0049185D" w:rsidP="0049185D">
            <w:pPr>
              <w:rPr>
                <w:sz w:val="20"/>
                <w:szCs w:val="20"/>
              </w:rPr>
            </w:pPr>
            <w:r w:rsidRPr="007D01E3">
              <w:rPr>
                <w:sz w:val="20"/>
                <w:szCs w:val="20"/>
              </w:rPr>
              <w:t>Update on Urgent Care</w:t>
            </w:r>
          </w:p>
          <w:p w:rsidR="0049185D" w:rsidRPr="007D01E3" w:rsidRDefault="0049185D" w:rsidP="0049185D">
            <w:pPr>
              <w:rPr>
                <w:sz w:val="20"/>
                <w:szCs w:val="20"/>
              </w:rPr>
            </w:pPr>
            <w:r w:rsidRPr="007D01E3">
              <w:rPr>
                <w:sz w:val="20"/>
                <w:szCs w:val="20"/>
              </w:rPr>
              <w:t>Jeff Schor</w:t>
            </w:r>
          </w:p>
        </w:tc>
      </w:tr>
      <w:tr w:rsidR="0049185D" w:rsidRPr="007D01E3" w:rsidTr="00572BD5">
        <w:tc>
          <w:tcPr>
            <w:tcW w:w="317" w:type="pct"/>
          </w:tcPr>
          <w:p w:rsidR="0049185D" w:rsidRPr="007D01E3" w:rsidRDefault="0049185D" w:rsidP="0049185D">
            <w:pPr>
              <w:rPr>
                <w:sz w:val="20"/>
                <w:szCs w:val="20"/>
              </w:rPr>
            </w:pPr>
            <w:r w:rsidRPr="007D01E3">
              <w:rPr>
                <w:sz w:val="20"/>
                <w:szCs w:val="20"/>
              </w:rPr>
              <w:t>1</w:t>
            </w:r>
          </w:p>
        </w:tc>
        <w:tc>
          <w:tcPr>
            <w:tcW w:w="402" w:type="pct"/>
          </w:tcPr>
          <w:p w:rsidR="0049185D" w:rsidRPr="007D01E3" w:rsidRDefault="0049185D" w:rsidP="0049185D">
            <w:pPr>
              <w:rPr>
                <w:sz w:val="20"/>
                <w:szCs w:val="20"/>
              </w:rPr>
            </w:pPr>
          </w:p>
        </w:tc>
        <w:tc>
          <w:tcPr>
            <w:tcW w:w="2145" w:type="pct"/>
            <w:shd w:val="clear" w:color="auto" w:fill="FFFFFF" w:themeFill="background1"/>
          </w:tcPr>
          <w:p w:rsidR="0049185D" w:rsidRPr="007D01E3" w:rsidRDefault="0049185D" w:rsidP="0049185D">
            <w:pPr>
              <w:rPr>
                <w:sz w:val="20"/>
                <w:szCs w:val="20"/>
              </w:rPr>
            </w:pPr>
            <w:r w:rsidRPr="007D01E3">
              <w:rPr>
                <w:sz w:val="20"/>
                <w:szCs w:val="20"/>
              </w:rPr>
              <w:t>That’s the Breaks Kid! – A Review of Pediatric Musculoskeletal Radiology</w:t>
            </w:r>
          </w:p>
          <w:p w:rsidR="0049185D" w:rsidRPr="007D01E3" w:rsidRDefault="0049185D" w:rsidP="0049185D">
            <w:pPr>
              <w:rPr>
                <w:sz w:val="20"/>
                <w:szCs w:val="20"/>
                <w:highlight w:val="yellow"/>
              </w:rPr>
            </w:pPr>
            <w:r w:rsidRPr="007D01E3">
              <w:rPr>
                <w:sz w:val="20"/>
                <w:szCs w:val="20"/>
              </w:rPr>
              <w:t>Nikhil Shah</w:t>
            </w:r>
          </w:p>
        </w:tc>
        <w:tc>
          <w:tcPr>
            <w:tcW w:w="407" w:type="pct"/>
          </w:tcPr>
          <w:p w:rsidR="0049185D" w:rsidRPr="007D01E3" w:rsidRDefault="0049185D" w:rsidP="0049185D">
            <w:pPr>
              <w:rPr>
                <w:sz w:val="20"/>
                <w:szCs w:val="20"/>
              </w:rPr>
            </w:pPr>
          </w:p>
        </w:tc>
        <w:tc>
          <w:tcPr>
            <w:tcW w:w="1729" w:type="pct"/>
          </w:tcPr>
          <w:p w:rsidR="0049185D" w:rsidRPr="007D01E3" w:rsidRDefault="0049185D" w:rsidP="0049185D">
            <w:pPr>
              <w:rPr>
                <w:sz w:val="20"/>
                <w:szCs w:val="20"/>
              </w:rPr>
            </w:pPr>
            <w:r w:rsidRPr="007D01E3">
              <w:rPr>
                <w:sz w:val="20"/>
                <w:szCs w:val="20"/>
              </w:rPr>
              <w:t>UTI – To Cath or not to Cath…That is the Question</w:t>
            </w:r>
          </w:p>
          <w:p w:rsidR="0049185D" w:rsidRPr="007D01E3" w:rsidRDefault="0049185D" w:rsidP="0049185D">
            <w:pPr>
              <w:rPr>
                <w:sz w:val="20"/>
                <w:szCs w:val="20"/>
              </w:rPr>
            </w:pPr>
            <w:r w:rsidRPr="007D01E3">
              <w:rPr>
                <w:sz w:val="20"/>
                <w:szCs w:val="20"/>
              </w:rPr>
              <w:t>Mordechai Raskas</w:t>
            </w:r>
          </w:p>
        </w:tc>
      </w:tr>
      <w:tr w:rsidR="0049185D" w:rsidRPr="007D01E3" w:rsidTr="00572BD5">
        <w:tc>
          <w:tcPr>
            <w:tcW w:w="317" w:type="pct"/>
          </w:tcPr>
          <w:p w:rsidR="0049185D" w:rsidRPr="007D01E3" w:rsidRDefault="0049185D" w:rsidP="0049185D">
            <w:pPr>
              <w:rPr>
                <w:sz w:val="20"/>
                <w:szCs w:val="20"/>
              </w:rPr>
            </w:pPr>
            <w:r w:rsidRPr="007D01E3">
              <w:rPr>
                <w:sz w:val="20"/>
                <w:szCs w:val="20"/>
              </w:rPr>
              <w:t>2</w:t>
            </w:r>
          </w:p>
        </w:tc>
        <w:tc>
          <w:tcPr>
            <w:tcW w:w="402" w:type="pct"/>
          </w:tcPr>
          <w:p w:rsidR="0049185D" w:rsidRPr="007D01E3" w:rsidRDefault="0049185D" w:rsidP="0049185D">
            <w:pPr>
              <w:rPr>
                <w:sz w:val="20"/>
                <w:szCs w:val="20"/>
              </w:rPr>
            </w:pPr>
          </w:p>
        </w:tc>
        <w:tc>
          <w:tcPr>
            <w:tcW w:w="2145" w:type="pct"/>
          </w:tcPr>
          <w:p w:rsidR="0049185D" w:rsidRPr="007D01E3" w:rsidRDefault="0049185D" w:rsidP="0049185D">
            <w:pPr>
              <w:rPr>
                <w:sz w:val="20"/>
                <w:szCs w:val="20"/>
              </w:rPr>
            </w:pPr>
            <w:r w:rsidRPr="007D01E3">
              <w:rPr>
                <w:sz w:val="20"/>
                <w:szCs w:val="20"/>
              </w:rPr>
              <w:t>WORKSHOP</w:t>
            </w:r>
          </w:p>
          <w:p w:rsidR="0049185D" w:rsidRPr="007D01E3" w:rsidRDefault="0049185D" w:rsidP="0049185D">
            <w:pPr>
              <w:rPr>
                <w:sz w:val="20"/>
                <w:szCs w:val="20"/>
              </w:rPr>
            </w:pPr>
            <w:r w:rsidRPr="007D01E3">
              <w:rPr>
                <w:sz w:val="20"/>
                <w:szCs w:val="20"/>
              </w:rPr>
              <w:t>“A Stitch in Time Saves Nine”</w:t>
            </w:r>
          </w:p>
          <w:p w:rsidR="0049185D" w:rsidRPr="007D01E3" w:rsidRDefault="0049185D" w:rsidP="0049185D">
            <w:pPr>
              <w:rPr>
                <w:sz w:val="20"/>
                <w:szCs w:val="20"/>
              </w:rPr>
            </w:pPr>
            <w:r w:rsidRPr="007D01E3">
              <w:rPr>
                <w:sz w:val="20"/>
                <w:szCs w:val="20"/>
              </w:rPr>
              <w:t>Basic Wound &amp; Suturing</w:t>
            </w:r>
          </w:p>
          <w:p w:rsidR="0049185D" w:rsidRPr="007D01E3" w:rsidRDefault="0049185D" w:rsidP="0049185D">
            <w:pPr>
              <w:rPr>
                <w:sz w:val="20"/>
                <w:szCs w:val="20"/>
              </w:rPr>
            </w:pPr>
            <w:r w:rsidRPr="007D01E3">
              <w:rPr>
                <w:sz w:val="20"/>
                <w:szCs w:val="20"/>
              </w:rPr>
              <w:t xml:space="preserve">Marisa Rodriguez </w:t>
            </w:r>
            <w:r w:rsidR="00572BD5">
              <w:rPr>
                <w:sz w:val="20"/>
                <w:szCs w:val="20"/>
              </w:rPr>
              <w:t>et al.</w:t>
            </w:r>
          </w:p>
        </w:tc>
        <w:tc>
          <w:tcPr>
            <w:tcW w:w="407" w:type="pct"/>
          </w:tcPr>
          <w:p w:rsidR="0049185D" w:rsidRPr="007D01E3" w:rsidRDefault="0049185D" w:rsidP="0049185D">
            <w:pPr>
              <w:rPr>
                <w:sz w:val="20"/>
                <w:szCs w:val="20"/>
              </w:rPr>
            </w:pPr>
          </w:p>
        </w:tc>
        <w:tc>
          <w:tcPr>
            <w:tcW w:w="1729" w:type="pct"/>
          </w:tcPr>
          <w:p w:rsidR="0049185D" w:rsidRPr="007D01E3" w:rsidRDefault="0049185D" w:rsidP="0049185D">
            <w:pPr>
              <w:rPr>
                <w:sz w:val="20"/>
                <w:szCs w:val="20"/>
              </w:rPr>
            </w:pPr>
            <w:r w:rsidRPr="007D01E3">
              <w:rPr>
                <w:sz w:val="20"/>
                <w:szCs w:val="20"/>
              </w:rPr>
              <w:t>WORKSHOP</w:t>
            </w:r>
          </w:p>
          <w:p w:rsidR="0049185D" w:rsidRPr="007D01E3" w:rsidRDefault="0049185D" w:rsidP="0049185D">
            <w:pPr>
              <w:rPr>
                <w:sz w:val="20"/>
                <w:szCs w:val="20"/>
              </w:rPr>
            </w:pPr>
            <w:r w:rsidRPr="007D01E3">
              <w:rPr>
                <w:sz w:val="20"/>
                <w:szCs w:val="20"/>
              </w:rPr>
              <w:t>Mock Codes</w:t>
            </w:r>
          </w:p>
          <w:p w:rsidR="0049185D" w:rsidRPr="007D01E3" w:rsidRDefault="0049185D" w:rsidP="0049185D">
            <w:pPr>
              <w:rPr>
                <w:sz w:val="20"/>
                <w:szCs w:val="20"/>
              </w:rPr>
            </w:pPr>
            <w:r w:rsidRPr="007D01E3">
              <w:rPr>
                <w:sz w:val="20"/>
                <w:szCs w:val="20"/>
              </w:rPr>
              <w:t>Eric Weinberg, Nikhil Shah</w:t>
            </w:r>
          </w:p>
        </w:tc>
      </w:tr>
    </w:tbl>
    <w:p w:rsidR="009C0F7A" w:rsidRPr="007D01E3" w:rsidRDefault="009C0F7A" w:rsidP="007D01E3">
      <w:pPr>
        <w:rPr>
          <w:sz w:val="20"/>
          <w:szCs w:val="20"/>
        </w:rPr>
      </w:pPr>
    </w:p>
    <w:p w:rsidR="00483C9F" w:rsidRPr="007D01E3" w:rsidRDefault="00483C9F" w:rsidP="00483C9F">
      <w:pPr>
        <w:rPr>
          <w:b/>
          <w:sz w:val="20"/>
          <w:szCs w:val="20"/>
        </w:rPr>
      </w:pPr>
      <w:r w:rsidRPr="007D01E3">
        <w:rPr>
          <w:b/>
          <w:sz w:val="20"/>
          <w:szCs w:val="20"/>
        </w:rPr>
        <w:t xml:space="preserve">I have attended the above lectures and claim ___ credits (max </w:t>
      </w:r>
      <w:r>
        <w:rPr>
          <w:b/>
          <w:sz w:val="20"/>
          <w:szCs w:val="20"/>
        </w:rPr>
        <w:t>6</w:t>
      </w:r>
      <w:r w:rsidRPr="007D01E3">
        <w:rPr>
          <w:b/>
          <w:sz w:val="20"/>
          <w:szCs w:val="20"/>
        </w:rPr>
        <w:t>)</w:t>
      </w:r>
    </w:p>
    <w:p w:rsidR="00483C9F" w:rsidRDefault="00483C9F" w:rsidP="00483C9F">
      <w:pPr>
        <w:rPr>
          <w:b/>
          <w:sz w:val="20"/>
          <w:szCs w:val="20"/>
        </w:rPr>
      </w:pPr>
      <w:r w:rsidRPr="007D01E3">
        <w:rPr>
          <w:b/>
          <w:sz w:val="20"/>
          <w:szCs w:val="20"/>
        </w:rPr>
        <w:t>Name:</w:t>
      </w:r>
    </w:p>
    <w:p w:rsidR="00483C9F" w:rsidRPr="007D01E3" w:rsidRDefault="00483C9F" w:rsidP="00483C9F">
      <w:pPr>
        <w:rPr>
          <w:b/>
          <w:sz w:val="20"/>
          <w:szCs w:val="20"/>
        </w:rPr>
      </w:pPr>
    </w:p>
    <w:p w:rsidR="00483C9F" w:rsidRDefault="00483C9F" w:rsidP="00483C9F">
      <w:pPr>
        <w:rPr>
          <w:b/>
          <w:sz w:val="20"/>
          <w:szCs w:val="20"/>
        </w:rPr>
      </w:pPr>
      <w:r w:rsidRPr="007D01E3">
        <w:rPr>
          <w:b/>
          <w:sz w:val="20"/>
          <w:szCs w:val="20"/>
        </w:rPr>
        <w:t>Email:</w:t>
      </w:r>
    </w:p>
    <w:p w:rsidR="00483C9F" w:rsidRPr="00483C9F" w:rsidRDefault="00483C9F" w:rsidP="00483C9F">
      <w:pPr>
        <w:shd w:val="clear" w:color="auto" w:fill="FFFFFF"/>
        <w:spacing w:after="0" w:line="240" w:lineRule="auto"/>
        <w:ind w:left="720" w:right="900"/>
        <w:jc w:val="both"/>
        <w:textAlignment w:val="baseline"/>
        <w:rPr>
          <w:rFonts w:ascii="Palatino Linotype,Arial" w:eastAsia="Palatino Linotype,Arial" w:hAnsi="Palatino Linotype,Arial" w:cs="Palatino Linotype,Arial"/>
          <w:color w:val="222222"/>
          <w:sz w:val="20"/>
          <w:szCs w:val="20"/>
        </w:rPr>
      </w:pPr>
      <w:r w:rsidRPr="00483C9F">
        <w:rPr>
          <w:rFonts w:ascii="Palatino Linotype,Arial" w:eastAsia="Palatino Linotype,Arial" w:hAnsi="Palatino Linotype,Arial" w:cs="Palatino Linotype,Arial"/>
          <w:color w:val="222222"/>
          <w:sz w:val="20"/>
          <w:szCs w:val="20"/>
        </w:rPr>
        <w:t>This activity has been planned and implemented in accordance with the Accreditation Requirements and Policies of the Medical Society of the State of New York (MSSNY) through the joint providership of the Westchester Academy of Medicine (WAM) and PM Pediatrics Management Group. WAM is accredited by MSSNY to provide Continuing Medical Education for physicians.</w:t>
      </w:r>
    </w:p>
    <w:p w:rsidR="00483C9F" w:rsidRPr="00483C9F" w:rsidRDefault="00483C9F" w:rsidP="00483C9F">
      <w:pPr>
        <w:shd w:val="clear" w:color="auto" w:fill="FFFFFF"/>
        <w:spacing w:after="0" w:line="240" w:lineRule="auto"/>
        <w:ind w:left="720" w:right="900"/>
        <w:jc w:val="both"/>
        <w:textAlignment w:val="baseline"/>
        <w:rPr>
          <w:rFonts w:ascii="Palatino Linotype,Arial" w:eastAsia="Palatino Linotype,Arial" w:hAnsi="Palatino Linotype,Arial" w:cs="Palatino Linotype,Arial"/>
          <w:color w:val="222222"/>
          <w:sz w:val="20"/>
          <w:szCs w:val="20"/>
        </w:rPr>
      </w:pPr>
      <w:r w:rsidRPr="00483C9F">
        <w:rPr>
          <w:rFonts w:ascii="Palatino Linotype,Arial" w:eastAsia="Palatino Linotype,Arial" w:hAnsi="Palatino Linotype,Arial" w:cs="Palatino Linotype,Arial"/>
          <w:color w:val="222222"/>
          <w:sz w:val="20"/>
          <w:szCs w:val="20"/>
        </w:rPr>
        <w:t> </w:t>
      </w:r>
    </w:p>
    <w:p w:rsidR="00483C9F" w:rsidRPr="00483C9F" w:rsidRDefault="00483C9F" w:rsidP="00483C9F">
      <w:pPr>
        <w:shd w:val="clear" w:color="auto" w:fill="FFFFFF"/>
        <w:spacing w:after="0" w:line="240" w:lineRule="auto"/>
        <w:ind w:left="720" w:right="900"/>
        <w:jc w:val="both"/>
        <w:textAlignment w:val="baseline"/>
        <w:rPr>
          <w:rFonts w:ascii="Palatino Linotype" w:eastAsia="Times New Roman" w:hAnsi="Palatino Linotype" w:cs="Arial"/>
          <w:color w:val="222222"/>
          <w:sz w:val="20"/>
          <w:szCs w:val="20"/>
        </w:rPr>
      </w:pPr>
      <w:r w:rsidRPr="00483C9F">
        <w:rPr>
          <w:rFonts w:ascii="Palatino Linotype,Arial" w:eastAsia="Palatino Linotype,Arial" w:hAnsi="Palatino Linotype,Arial" w:cs="Palatino Linotype,Arial"/>
          <w:color w:val="222222"/>
          <w:sz w:val="20"/>
          <w:szCs w:val="20"/>
        </w:rPr>
        <w:t xml:space="preserve">WAM designates this live activity for a maximum of </w:t>
      </w:r>
      <w:r>
        <w:rPr>
          <w:rFonts w:ascii="Palatino Linotype,Arial" w:eastAsia="Palatino Linotype,Arial" w:hAnsi="Palatino Linotype,Arial" w:cs="Palatino Linotype,Arial"/>
          <w:color w:val="222222"/>
          <w:sz w:val="20"/>
          <w:szCs w:val="20"/>
        </w:rPr>
        <w:t>6</w:t>
      </w:r>
      <w:r w:rsidRPr="00483C9F">
        <w:rPr>
          <w:rFonts w:ascii="Palatino Linotype,Arial" w:eastAsia="Palatino Linotype,Arial" w:hAnsi="Palatino Linotype,Arial" w:cs="Palatino Linotype,Arial"/>
          <w:color w:val="222222"/>
          <w:sz w:val="20"/>
          <w:szCs w:val="20"/>
        </w:rPr>
        <w:t xml:space="preserve"> </w:t>
      </w:r>
      <w:r w:rsidRPr="00483C9F">
        <w:rPr>
          <w:rFonts w:ascii="Palatino Linotype,Arial" w:eastAsia="Palatino Linotype,Arial" w:hAnsi="Palatino Linotype,Arial" w:cs="Palatino Linotype,Arial"/>
          <w:b/>
          <w:bCs/>
          <w:i/>
          <w:iCs/>
          <w:color w:val="222222"/>
          <w:sz w:val="20"/>
          <w:szCs w:val="20"/>
        </w:rPr>
        <w:t>AMA PRA Category I Credits</w:t>
      </w:r>
      <w:r w:rsidRPr="00483C9F">
        <w:rPr>
          <w:rFonts w:ascii="Palatino Linotype,Arial" w:eastAsia="Palatino Linotype,Arial" w:hAnsi="Palatino Linotype,Arial" w:cs="Palatino Linotype,Arial"/>
          <w:b/>
          <w:bCs/>
          <w:color w:val="222222"/>
          <w:sz w:val="20"/>
          <w:szCs w:val="20"/>
        </w:rPr>
        <w:t>™</w:t>
      </w:r>
      <w:r w:rsidRPr="00483C9F">
        <w:rPr>
          <w:rFonts w:ascii="Palatino Linotype,Arial" w:eastAsia="Palatino Linotype,Arial" w:hAnsi="Palatino Linotype,Arial" w:cs="Palatino Linotype,Arial"/>
          <w:i/>
          <w:iCs/>
          <w:color w:val="222222"/>
          <w:sz w:val="20"/>
          <w:szCs w:val="20"/>
        </w:rPr>
        <w:t>.</w:t>
      </w:r>
      <w:r w:rsidRPr="00483C9F">
        <w:rPr>
          <w:rFonts w:ascii="Palatino Linotype,Arial" w:eastAsia="Palatino Linotype,Arial" w:hAnsi="Palatino Linotype,Arial" w:cs="Palatino Linotype,Arial"/>
          <w:color w:val="222222"/>
          <w:sz w:val="20"/>
          <w:szCs w:val="20"/>
        </w:rPr>
        <w:t>  Physicians should claim only the credit commensurate with the extent of their participation in the activity.</w:t>
      </w:r>
    </w:p>
    <w:p w:rsidR="00483C9F" w:rsidRPr="00483C9F" w:rsidRDefault="00483C9F" w:rsidP="00483C9F">
      <w:pPr>
        <w:shd w:val="clear" w:color="auto" w:fill="FFFFFF"/>
        <w:spacing w:after="0" w:line="240" w:lineRule="auto"/>
        <w:ind w:left="720" w:right="900"/>
        <w:jc w:val="both"/>
        <w:textAlignment w:val="baseline"/>
        <w:rPr>
          <w:rFonts w:ascii="Palatino Linotype,Arial" w:eastAsia="Palatino Linotype,Arial" w:hAnsi="Palatino Linotype,Arial" w:cs="Palatino Linotype,Arial"/>
          <w:color w:val="222222"/>
          <w:sz w:val="20"/>
          <w:szCs w:val="20"/>
        </w:rPr>
      </w:pPr>
      <w:r w:rsidRPr="00483C9F">
        <w:rPr>
          <w:rFonts w:ascii="Palatino Linotype,Arial" w:eastAsia="Palatino Linotype,Arial" w:hAnsi="Palatino Linotype,Arial" w:cs="Palatino Linotype,Arial"/>
          <w:color w:val="222222"/>
          <w:sz w:val="20"/>
          <w:szCs w:val="20"/>
        </w:rPr>
        <w:t> </w:t>
      </w:r>
    </w:p>
    <w:p w:rsidR="00483C9F" w:rsidRDefault="00483C9F">
      <w:pPr>
        <w:rPr>
          <w:sz w:val="20"/>
          <w:szCs w:val="20"/>
        </w:rPr>
      </w:pPr>
      <w:r>
        <w:rPr>
          <w:sz w:val="20"/>
          <w:szCs w:val="20"/>
        </w:rPr>
        <w:br w:type="page"/>
      </w:r>
    </w:p>
    <w:p w:rsidR="00482A79" w:rsidRPr="007D01E3" w:rsidRDefault="00E13A00" w:rsidP="007D01E3">
      <w:pPr>
        <w:rPr>
          <w:sz w:val="20"/>
          <w:szCs w:val="20"/>
        </w:rPr>
      </w:pPr>
      <w:r>
        <w:rPr>
          <w:sz w:val="20"/>
          <w:szCs w:val="20"/>
        </w:rPr>
        <w:lastRenderedPageBreak/>
        <w:t xml:space="preserve">Conference Day 2: </w:t>
      </w:r>
      <w:r w:rsidR="00F24483" w:rsidRPr="007D01E3">
        <w:rPr>
          <w:sz w:val="20"/>
          <w:szCs w:val="20"/>
        </w:rPr>
        <w:t>March 31st</w:t>
      </w:r>
      <w:r w:rsidR="00482A79" w:rsidRPr="007D01E3">
        <w:rPr>
          <w:sz w:val="20"/>
          <w:szCs w:val="20"/>
        </w:rPr>
        <w:tab/>
      </w:r>
      <w:r w:rsidR="00482A79" w:rsidRPr="007D01E3">
        <w:rPr>
          <w:sz w:val="20"/>
          <w:szCs w:val="20"/>
        </w:rPr>
        <w:tab/>
      </w:r>
    </w:p>
    <w:tbl>
      <w:tblPr>
        <w:tblStyle w:val="TableGrid"/>
        <w:tblW w:w="5000" w:type="pct"/>
        <w:tblLook w:val="04A0" w:firstRow="1" w:lastRow="0" w:firstColumn="1" w:lastColumn="0" w:noHBand="0" w:noVBand="1"/>
      </w:tblPr>
      <w:tblGrid>
        <w:gridCol w:w="726"/>
        <w:gridCol w:w="791"/>
        <w:gridCol w:w="3924"/>
        <w:gridCol w:w="824"/>
        <w:gridCol w:w="3311"/>
      </w:tblGrid>
      <w:tr w:rsidR="0049185D" w:rsidRPr="007D01E3" w:rsidTr="00572BD5">
        <w:tc>
          <w:tcPr>
            <w:tcW w:w="379" w:type="pct"/>
          </w:tcPr>
          <w:p w:rsidR="0049185D" w:rsidRPr="0049185D" w:rsidRDefault="0049185D" w:rsidP="0049185D">
            <w:pPr>
              <w:jc w:val="center"/>
              <w:rPr>
                <w:b/>
                <w:sz w:val="20"/>
                <w:szCs w:val="20"/>
              </w:rPr>
            </w:pPr>
            <w:r w:rsidRPr="0049185D">
              <w:rPr>
                <w:b/>
                <w:sz w:val="20"/>
                <w:szCs w:val="20"/>
              </w:rPr>
              <w:t>CME</w:t>
            </w:r>
          </w:p>
        </w:tc>
        <w:tc>
          <w:tcPr>
            <w:tcW w:w="413" w:type="pct"/>
          </w:tcPr>
          <w:p w:rsidR="0049185D" w:rsidRPr="0049185D" w:rsidRDefault="0049185D" w:rsidP="0049185D">
            <w:pPr>
              <w:jc w:val="center"/>
              <w:rPr>
                <w:b/>
                <w:sz w:val="20"/>
                <w:szCs w:val="20"/>
              </w:rPr>
            </w:pPr>
            <w:r w:rsidRPr="0049185D">
              <w:rPr>
                <w:b/>
                <w:sz w:val="20"/>
                <w:szCs w:val="20"/>
              </w:rPr>
              <w:t>Initials</w:t>
            </w:r>
          </w:p>
        </w:tc>
        <w:tc>
          <w:tcPr>
            <w:tcW w:w="2049" w:type="pct"/>
          </w:tcPr>
          <w:p w:rsidR="0049185D" w:rsidRPr="0049185D" w:rsidRDefault="0049185D" w:rsidP="0049185D">
            <w:pPr>
              <w:jc w:val="center"/>
              <w:rPr>
                <w:b/>
                <w:sz w:val="20"/>
                <w:szCs w:val="20"/>
              </w:rPr>
            </w:pPr>
            <w:r w:rsidRPr="0049185D">
              <w:rPr>
                <w:b/>
                <w:sz w:val="20"/>
                <w:szCs w:val="20"/>
              </w:rPr>
              <w:t>Core Concepts</w:t>
            </w:r>
          </w:p>
        </w:tc>
        <w:tc>
          <w:tcPr>
            <w:tcW w:w="430" w:type="pct"/>
          </w:tcPr>
          <w:p w:rsidR="0049185D" w:rsidRPr="0049185D" w:rsidRDefault="0049185D" w:rsidP="0049185D">
            <w:pPr>
              <w:jc w:val="center"/>
              <w:rPr>
                <w:b/>
                <w:sz w:val="20"/>
                <w:szCs w:val="20"/>
              </w:rPr>
            </w:pPr>
            <w:r w:rsidRPr="0049185D">
              <w:rPr>
                <w:b/>
                <w:sz w:val="20"/>
                <w:szCs w:val="20"/>
              </w:rPr>
              <w:t>Initials</w:t>
            </w:r>
          </w:p>
        </w:tc>
        <w:tc>
          <w:tcPr>
            <w:tcW w:w="1728" w:type="pct"/>
          </w:tcPr>
          <w:p w:rsidR="0049185D" w:rsidRPr="0049185D" w:rsidRDefault="0049185D" w:rsidP="0049185D">
            <w:pPr>
              <w:jc w:val="center"/>
              <w:rPr>
                <w:b/>
                <w:sz w:val="20"/>
                <w:szCs w:val="20"/>
              </w:rPr>
            </w:pPr>
            <w:r w:rsidRPr="0049185D">
              <w:rPr>
                <w:b/>
                <w:sz w:val="20"/>
                <w:szCs w:val="20"/>
              </w:rPr>
              <w:t>Emerging Concepts and Controversies</w:t>
            </w:r>
          </w:p>
        </w:tc>
      </w:tr>
      <w:tr w:rsidR="0049185D" w:rsidRPr="007D01E3" w:rsidTr="00572BD5">
        <w:tc>
          <w:tcPr>
            <w:tcW w:w="379" w:type="pct"/>
          </w:tcPr>
          <w:p w:rsidR="0049185D" w:rsidRPr="007D01E3" w:rsidRDefault="0049185D" w:rsidP="0049185D">
            <w:pPr>
              <w:rPr>
                <w:sz w:val="20"/>
                <w:szCs w:val="20"/>
              </w:rPr>
            </w:pPr>
            <w:r w:rsidRPr="007D01E3">
              <w:rPr>
                <w:sz w:val="20"/>
                <w:szCs w:val="20"/>
              </w:rPr>
              <w:t>1</w:t>
            </w:r>
          </w:p>
        </w:tc>
        <w:tc>
          <w:tcPr>
            <w:tcW w:w="413" w:type="pct"/>
          </w:tcPr>
          <w:p w:rsidR="0049185D" w:rsidRPr="007D01E3" w:rsidRDefault="0049185D" w:rsidP="0049185D">
            <w:pPr>
              <w:rPr>
                <w:sz w:val="20"/>
                <w:szCs w:val="20"/>
              </w:rPr>
            </w:pPr>
          </w:p>
        </w:tc>
        <w:tc>
          <w:tcPr>
            <w:tcW w:w="4208" w:type="pct"/>
            <w:gridSpan w:val="3"/>
          </w:tcPr>
          <w:p w:rsidR="0049185D" w:rsidRPr="007D01E3" w:rsidRDefault="0049185D" w:rsidP="0049185D">
            <w:pPr>
              <w:rPr>
                <w:sz w:val="20"/>
                <w:szCs w:val="20"/>
              </w:rPr>
            </w:pPr>
            <w:r w:rsidRPr="007D01E3">
              <w:rPr>
                <w:sz w:val="20"/>
                <w:szCs w:val="20"/>
              </w:rPr>
              <w:t>Plenary - From the Board Room to the Exam Room: Applying Business Principles to Improve Your Medical Practice</w:t>
            </w:r>
          </w:p>
          <w:p w:rsidR="0049185D" w:rsidRPr="007D01E3" w:rsidRDefault="0049185D" w:rsidP="0049185D">
            <w:pPr>
              <w:rPr>
                <w:sz w:val="20"/>
                <w:szCs w:val="20"/>
              </w:rPr>
            </w:pPr>
            <w:r w:rsidRPr="007D01E3">
              <w:rPr>
                <w:sz w:val="20"/>
                <w:szCs w:val="20"/>
              </w:rPr>
              <w:t>Steve Katz</w:t>
            </w:r>
          </w:p>
        </w:tc>
      </w:tr>
      <w:tr w:rsidR="0049185D" w:rsidRPr="007D01E3" w:rsidTr="00572BD5">
        <w:tc>
          <w:tcPr>
            <w:tcW w:w="379" w:type="pct"/>
          </w:tcPr>
          <w:p w:rsidR="0049185D" w:rsidRPr="007D01E3" w:rsidRDefault="0049185D" w:rsidP="0049185D">
            <w:pPr>
              <w:rPr>
                <w:sz w:val="20"/>
                <w:szCs w:val="20"/>
              </w:rPr>
            </w:pPr>
            <w:r w:rsidRPr="007D01E3">
              <w:rPr>
                <w:sz w:val="20"/>
                <w:szCs w:val="20"/>
              </w:rPr>
              <w:t>1</w:t>
            </w:r>
          </w:p>
        </w:tc>
        <w:tc>
          <w:tcPr>
            <w:tcW w:w="413" w:type="pct"/>
          </w:tcPr>
          <w:p w:rsidR="0049185D" w:rsidRPr="007D01E3" w:rsidRDefault="0049185D" w:rsidP="0049185D">
            <w:pPr>
              <w:rPr>
                <w:sz w:val="20"/>
                <w:szCs w:val="20"/>
              </w:rPr>
            </w:pPr>
          </w:p>
        </w:tc>
        <w:tc>
          <w:tcPr>
            <w:tcW w:w="2049" w:type="pct"/>
          </w:tcPr>
          <w:p w:rsidR="0049185D" w:rsidRPr="007D01E3" w:rsidRDefault="0049185D" w:rsidP="0049185D">
            <w:pPr>
              <w:rPr>
                <w:sz w:val="20"/>
                <w:szCs w:val="20"/>
              </w:rPr>
            </w:pPr>
            <w:r w:rsidRPr="007D01E3">
              <w:rPr>
                <w:sz w:val="20"/>
                <w:szCs w:val="20"/>
              </w:rPr>
              <w:t>When Hydrocortisone Just Won’t Cover It – Pediatric Dermatology Puzzlers</w:t>
            </w:r>
          </w:p>
          <w:p w:rsidR="0049185D" w:rsidRPr="007D01E3" w:rsidRDefault="0049185D" w:rsidP="0049185D">
            <w:pPr>
              <w:rPr>
                <w:sz w:val="20"/>
                <w:szCs w:val="20"/>
              </w:rPr>
            </w:pPr>
            <w:r w:rsidRPr="007D01E3">
              <w:rPr>
                <w:sz w:val="20"/>
                <w:szCs w:val="20"/>
              </w:rPr>
              <w:t>David Mathison</w:t>
            </w:r>
          </w:p>
        </w:tc>
        <w:tc>
          <w:tcPr>
            <w:tcW w:w="430" w:type="pct"/>
          </w:tcPr>
          <w:p w:rsidR="0049185D" w:rsidRPr="007D01E3" w:rsidRDefault="0049185D" w:rsidP="0049185D">
            <w:pPr>
              <w:rPr>
                <w:sz w:val="20"/>
                <w:szCs w:val="20"/>
              </w:rPr>
            </w:pPr>
          </w:p>
        </w:tc>
        <w:tc>
          <w:tcPr>
            <w:tcW w:w="1728" w:type="pct"/>
          </w:tcPr>
          <w:p w:rsidR="0049185D" w:rsidRPr="007D01E3" w:rsidRDefault="0049185D" w:rsidP="0049185D">
            <w:pPr>
              <w:rPr>
                <w:sz w:val="20"/>
                <w:szCs w:val="20"/>
              </w:rPr>
            </w:pPr>
            <w:r w:rsidRPr="007D01E3">
              <w:rPr>
                <w:sz w:val="20"/>
                <w:szCs w:val="20"/>
              </w:rPr>
              <w:t xml:space="preserve">How to Protect Yourself and your Practice in a Litigious Environment </w:t>
            </w:r>
          </w:p>
          <w:p w:rsidR="0049185D" w:rsidRPr="007D01E3" w:rsidRDefault="0049185D" w:rsidP="0049185D">
            <w:pPr>
              <w:rPr>
                <w:sz w:val="20"/>
                <w:szCs w:val="20"/>
              </w:rPr>
            </w:pPr>
            <w:r w:rsidRPr="007D01E3">
              <w:rPr>
                <w:sz w:val="20"/>
                <w:szCs w:val="20"/>
              </w:rPr>
              <w:t>Michael Bachman</w:t>
            </w:r>
          </w:p>
          <w:p w:rsidR="0049185D" w:rsidRPr="007D01E3" w:rsidRDefault="0049185D" w:rsidP="0049185D">
            <w:pPr>
              <w:rPr>
                <w:sz w:val="20"/>
                <w:szCs w:val="20"/>
              </w:rPr>
            </w:pPr>
          </w:p>
        </w:tc>
      </w:tr>
      <w:tr w:rsidR="0049185D" w:rsidRPr="007D01E3" w:rsidTr="00572BD5">
        <w:tc>
          <w:tcPr>
            <w:tcW w:w="379" w:type="pct"/>
          </w:tcPr>
          <w:p w:rsidR="0049185D" w:rsidRPr="007D01E3" w:rsidRDefault="0049185D" w:rsidP="0049185D">
            <w:pPr>
              <w:rPr>
                <w:sz w:val="20"/>
                <w:szCs w:val="20"/>
              </w:rPr>
            </w:pPr>
            <w:r w:rsidRPr="007D01E3">
              <w:rPr>
                <w:sz w:val="20"/>
                <w:szCs w:val="20"/>
              </w:rPr>
              <w:t>1</w:t>
            </w:r>
          </w:p>
        </w:tc>
        <w:tc>
          <w:tcPr>
            <w:tcW w:w="413" w:type="pct"/>
          </w:tcPr>
          <w:p w:rsidR="0049185D" w:rsidRPr="007D01E3" w:rsidRDefault="0049185D" w:rsidP="0049185D">
            <w:pPr>
              <w:rPr>
                <w:sz w:val="20"/>
                <w:szCs w:val="20"/>
              </w:rPr>
            </w:pPr>
          </w:p>
        </w:tc>
        <w:tc>
          <w:tcPr>
            <w:tcW w:w="2049" w:type="pct"/>
          </w:tcPr>
          <w:p w:rsidR="0049185D" w:rsidRPr="007D01E3" w:rsidRDefault="0049185D" w:rsidP="0049185D">
            <w:pPr>
              <w:rPr>
                <w:sz w:val="20"/>
                <w:szCs w:val="20"/>
              </w:rPr>
            </w:pPr>
            <w:r w:rsidRPr="007D01E3">
              <w:rPr>
                <w:sz w:val="20"/>
                <w:szCs w:val="20"/>
              </w:rPr>
              <w:t>Anaphylaxis – Step 1 Give Epi.  Step 2 – Make Sure You Give Epi</w:t>
            </w:r>
          </w:p>
          <w:p w:rsidR="0049185D" w:rsidRPr="007D01E3" w:rsidRDefault="0049185D" w:rsidP="0049185D">
            <w:pPr>
              <w:rPr>
                <w:sz w:val="20"/>
                <w:szCs w:val="20"/>
              </w:rPr>
            </w:pPr>
            <w:r w:rsidRPr="007D01E3">
              <w:rPr>
                <w:sz w:val="20"/>
                <w:szCs w:val="20"/>
              </w:rPr>
              <w:t>Karin Sadow</w:t>
            </w:r>
          </w:p>
        </w:tc>
        <w:tc>
          <w:tcPr>
            <w:tcW w:w="430" w:type="pct"/>
          </w:tcPr>
          <w:p w:rsidR="0049185D" w:rsidRPr="007D01E3" w:rsidRDefault="0049185D" w:rsidP="0049185D">
            <w:pPr>
              <w:rPr>
                <w:sz w:val="20"/>
                <w:szCs w:val="20"/>
              </w:rPr>
            </w:pPr>
          </w:p>
        </w:tc>
        <w:tc>
          <w:tcPr>
            <w:tcW w:w="1728" w:type="pct"/>
          </w:tcPr>
          <w:p w:rsidR="0049185D" w:rsidRPr="007D01E3" w:rsidRDefault="0049185D" w:rsidP="0049185D">
            <w:pPr>
              <w:rPr>
                <w:sz w:val="20"/>
                <w:szCs w:val="20"/>
              </w:rPr>
            </w:pPr>
            <w:r w:rsidRPr="007D01E3">
              <w:rPr>
                <w:sz w:val="20"/>
                <w:szCs w:val="20"/>
              </w:rPr>
              <w:t>Visual Diagnosis</w:t>
            </w:r>
          </w:p>
          <w:p w:rsidR="0049185D" w:rsidRPr="007D01E3" w:rsidRDefault="0049185D" w:rsidP="0049185D">
            <w:pPr>
              <w:rPr>
                <w:sz w:val="20"/>
                <w:szCs w:val="20"/>
              </w:rPr>
            </w:pPr>
            <w:r w:rsidRPr="007D01E3">
              <w:rPr>
                <w:sz w:val="20"/>
                <w:szCs w:val="20"/>
              </w:rPr>
              <w:t>Usha Sankrithi</w:t>
            </w:r>
          </w:p>
        </w:tc>
      </w:tr>
      <w:tr w:rsidR="0049185D" w:rsidRPr="007D01E3" w:rsidTr="00572BD5">
        <w:tc>
          <w:tcPr>
            <w:tcW w:w="379" w:type="pct"/>
          </w:tcPr>
          <w:p w:rsidR="0049185D" w:rsidRPr="007D01E3" w:rsidRDefault="0049185D" w:rsidP="0049185D">
            <w:pPr>
              <w:rPr>
                <w:sz w:val="20"/>
                <w:szCs w:val="20"/>
              </w:rPr>
            </w:pPr>
            <w:r w:rsidRPr="007D01E3">
              <w:rPr>
                <w:sz w:val="20"/>
                <w:szCs w:val="20"/>
              </w:rPr>
              <w:t>1</w:t>
            </w:r>
          </w:p>
        </w:tc>
        <w:tc>
          <w:tcPr>
            <w:tcW w:w="413" w:type="pct"/>
          </w:tcPr>
          <w:p w:rsidR="0049185D" w:rsidRPr="007D01E3" w:rsidRDefault="0049185D" w:rsidP="0049185D">
            <w:pPr>
              <w:rPr>
                <w:sz w:val="20"/>
                <w:szCs w:val="20"/>
              </w:rPr>
            </w:pPr>
          </w:p>
        </w:tc>
        <w:tc>
          <w:tcPr>
            <w:tcW w:w="2049" w:type="pct"/>
          </w:tcPr>
          <w:p w:rsidR="0049185D" w:rsidRPr="007D01E3" w:rsidRDefault="0049185D" w:rsidP="0049185D">
            <w:pPr>
              <w:rPr>
                <w:sz w:val="20"/>
                <w:szCs w:val="20"/>
              </w:rPr>
            </w:pPr>
            <w:r w:rsidRPr="007D01E3">
              <w:rPr>
                <w:sz w:val="20"/>
                <w:szCs w:val="20"/>
              </w:rPr>
              <w:t xml:space="preserve">When Can She Play Again? – Head Injury and Concussion Management </w:t>
            </w:r>
          </w:p>
          <w:p w:rsidR="0049185D" w:rsidRPr="007D01E3" w:rsidRDefault="0049185D" w:rsidP="0049185D">
            <w:pPr>
              <w:rPr>
                <w:sz w:val="20"/>
                <w:szCs w:val="20"/>
                <w:highlight w:val="yellow"/>
              </w:rPr>
            </w:pPr>
            <w:r w:rsidRPr="007D01E3">
              <w:rPr>
                <w:sz w:val="20"/>
                <w:szCs w:val="20"/>
              </w:rPr>
              <w:t>Michael Bachman</w:t>
            </w:r>
          </w:p>
        </w:tc>
        <w:tc>
          <w:tcPr>
            <w:tcW w:w="430" w:type="pct"/>
          </w:tcPr>
          <w:p w:rsidR="0049185D" w:rsidRPr="007D01E3" w:rsidRDefault="0049185D" w:rsidP="0049185D">
            <w:pPr>
              <w:rPr>
                <w:sz w:val="20"/>
                <w:szCs w:val="20"/>
              </w:rPr>
            </w:pPr>
          </w:p>
        </w:tc>
        <w:tc>
          <w:tcPr>
            <w:tcW w:w="1728" w:type="pct"/>
          </w:tcPr>
          <w:p w:rsidR="0049185D" w:rsidRPr="007D01E3" w:rsidRDefault="0049185D" w:rsidP="0049185D">
            <w:pPr>
              <w:rPr>
                <w:sz w:val="20"/>
                <w:szCs w:val="20"/>
              </w:rPr>
            </w:pPr>
            <w:r w:rsidRPr="007D01E3">
              <w:rPr>
                <w:sz w:val="20"/>
                <w:szCs w:val="20"/>
              </w:rPr>
              <w:t>When It’s Not Just a Virus – Preparing for the Critically Ill Patient in the Urgent Care Setting</w:t>
            </w:r>
          </w:p>
          <w:p w:rsidR="0049185D" w:rsidRPr="007D01E3" w:rsidRDefault="0049185D" w:rsidP="0049185D">
            <w:pPr>
              <w:rPr>
                <w:sz w:val="20"/>
                <w:szCs w:val="20"/>
              </w:rPr>
            </w:pPr>
            <w:r w:rsidRPr="007D01E3">
              <w:rPr>
                <w:sz w:val="20"/>
                <w:szCs w:val="20"/>
              </w:rPr>
              <w:t>Peter Dayan MD</w:t>
            </w:r>
          </w:p>
        </w:tc>
      </w:tr>
      <w:tr w:rsidR="0049185D" w:rsidRPr="007D01E3" w:rsidTr="00572BD5">
        <w:tc>
          <w:tcPr>
            <w:tcW w:w="379" w:type="pct"/>
          </w:tcPr>
          <w:p w:rsidR="0049185D" w:rsidRPr="007D01E3" w:rsidRDefault="0049185D" w:rsidP="0049185D">
            <w:pPr>
              <w:rPr>
                <w:sz w:val="20"/>
                <w:szCs w:val="20"/>
              </w:rPr>
            </w:pPr>
            <w:r>
              <w:rPr>
                <w:sz w:val="20"/>
                <w:szCs w:val="20"/>
              </w:rPr>
              <w:t>2</w:t>
            </w:r>
          </w:p>
        </w:tc>
        <w:tc>
          <w:tcPr>
            <w:tcW w:w="413" w:type="pct"/>
          </w:tcPr>
          <w:p w:rsidR="0049185D" w:rsidRPr="007D01E3" w:rsidRDefault="0049185D" w:rsidP="0049185D">
            <w:pPr>
              <w:rPr>
                <w:sz w:val="20"/>
                <w:szCs w:val="20"/>
              </w:rPr>
            </w:pPr>
          </w:p>
        </w:tc>
        <w:tc>
          <w:tcPr>
            <w:tcW w:w="2049" w:type="pct"/>
          </w:tcPr>
          <w:p w:rsidR="0049185D" w:rsidRPr="007D01E3" w:rsidRDefault="0049185D" w:rsidP="0049185D">
            <w:pPr>
              <w:rPr>
                <w:sz w:val="20"/>
                <w:szCs w:val="20"/>
              </w:rPr>
            </w:pPr>
            <w:r w:rsidRPr="007D01E3">
              <w:rPr>
                <w:sz w:val="20"/>
                <w:szCs w:val="20"/>
              </w:rPr>
              <w:t>WORKSHOP</w:t>
            </w:r>
          </w:p>
          <w:p w:rsidR="0049185D" w:rsidRPr="007D01E3" w:rsidRDefault="0049185D" w:rsidP="0049185D">
            <w:pPr>
              <w:rPr>
                <w:sz w:val="20"/>
                <w:szCs w:val="20"/>
              </w:rPr>
            </w:pPr>
            <w:r w:rsidRPr="007D01E3">
              <w:rPr>
                <w:sz w:val="20"/>
                <w:szCs w:val="20"/>
              </w:rPr>
              <w:t>Splinting</w:t>
            </w:r>
          </w:p>
          <w:p w:rsidR="0049185D" w:rsidRPr="007D01E3" w:rsidRDefault="0049185D" w:rsidP="0049185D">
            <w:pPr>
              <w:rPr>
                <w:sz w:val="20"/>
                <w:szCs w:val="20"/>
              </w:rPr>
            </w:pPr>
            <w:r w:rsidRPr="007D01E3">
              <w:rPr>
                <w:sz w:val="20"/>
                <w:szCs w:val="20"/>
              </w:rPr>
              <w:t>Andre Persaud</w:t>
            </w:r>
            <w:r>
              <w:rPr>
                <w:sz w:val="20"/>
                <w:szCs w:val="20"/>
              </w:rPr>
              <w:t>, et al.</w:t>
            </w:r>
          </w:p>
        </w:tc>
        <w:tc>
          <w:tcPr>
            <w:tcW w:w="430" w:type="pct"/>
          </w:tcPr>
          <w:p w:rsidR="0049185D" w:rsidRPr="007D01E3" w:rsidRDefault="0049185D" w:rsidP="0049185D">
            <w:pPr>
              <w:rPr>
                <w:sz w:val="20"/>
                <w:szCs w:val="20"/>
              </w:rPr>
            </w:pPr>
          </w:p>
        </w:tc>
        <w:tc>
          <w:tcPr>
            <w:tcW w:w="1728" w:type="pct"/>
          </w:tcPr>
          <w:p w:rsidR="0049185D" w:rsidRPr="007D01E3" w:rsidRDefault="0049185D" w:rsidP="0049185D">
            <w:pPr>
              <w:rPr>
                <w:sz w:val="20"/>
                <w:szCs w:val="20"/>
              </w:rPr>
            </w:pPr>
            <w:r w:rsidRPr="007D01E3">
              <w:rPr>
                <w:sz w:val="20"/>
                <w:szCs w:val="20"/>
              </w:rPr>
              <w:t>WORKSHOP</w:t>
            </w:r>
          </w:p>
          <w:p w:rsidR="0049185D" w:rsidRPr="007D01E3" w:rsidRDefault="0049185D" w:rsidP="0049185D">
            <w:pPr>
              <w:rPr>
                <w:sz w:val="20"/>
                <w:szCs w:val="20"/>
              </w:rPr>
            </w:pPr>
            <w:r w:rsidRPr="007D01E3">
              <w:rPr>
                <w:sz w:val="20"/>
                <w:szCs w:val="20"/>
              </w:rPr>
              <w:t xml:space="preserve">Advanced Wound &amp; Suturing – </w:t>
            </w:r>
          </w:p>
          <w:p w:rsidR="0049185D" w:rsidRPr="007D01E3" w:rsidRDefault="0049185D" w:rsidP="0049185D">
            <w:pPr>
              <w:rPr>
                <w:sz w:val="20"/>
                <w:szCs w:val="20"/>
              </w:rPr>
            </w:pPr>
            <w:r w:rsidRPr="007D01E3">
              <w:rPr>
                <w:sz w:val="20"/>
                <w:szCs w:val="20"/>
              </w:rPr>
              <w:t>Marisa Rodriguez et. Al</w:t>
            </w:r>
            <w:r>
              <w:rPr>
                <w:sz w:val="20"/>
                <w:szCs w:val="20"/>
              </w:rPr>
              <w:t>.</w:t>
            </w:r>
          </w:p>
        </w:tc>
      </w:tr>
    </w:tbl>
    <w:p w:rsidR="00482A79" w:rsidRPr="007D01E3" w:rsidRDefault="00482A79" w:rsidP="007D01E3">
      <w:pPr>
        <w:rPr>
          <w:sz w:val="20"/>
          <w:szCs w:val="20"/>
        </w:rPr>
      </w:pPr>
    </w:p>
    <w:p w:rsidR="007D01E3" w:rsidRPr="007D01E3" w:rsidRDefault="007D01E3" w:rsidP="007D01E3">
      <w:pPr>
        <w:rPr>
          <w:b/>
          <w:sz w:val="20"/>
          <w:szCs w:val="20"/>
        </w:rPr>
      </w:pPr>
      <w:r w:rsidRPr="007D01E3">
        <w:rPr>
          <w:b/>
          <w:sz w:val="20"/>
          <w:szCs w:val="20"/>
        </w:rPr>
        <w:t xml:space="preserve">I have attended the above lectures and claim ___ credits (max </w:t>
      </w:r>
      <w:r w:rsidR="00483C9F">
        <w:rPr>
          <w:b/>
          <w:sz w:val="20"/>
          <w:szCs w:val="20"/>
        </w:rPr>
        <w:t>6</w:t>
      </w:r>
      <w:r w:rsidRPr="007D01E3">
        <w:rPr>
          <w:b/>
          <w:sz w:val="20"/>
          <w:szCs w:val="20"/>
        </w:rPr>
        <w:t>)</w:t>
      </w:r>
    </w:p>
    <w:p w:rsidR="007D01E3" w:rsidRDefault="007D01E3" w:rsidP="007D01E3">
      <w:pPr>
        <w:rPr>
          <w:b/>
          <w:sz w:val="20"/>
          <w:szCs w:val="20"/>
        </w:rPr>
      </w:pPr>
      <w:r w:rsidRPr="007D01E3">
        <w:rPr>
          <w:b/>
          <w:sz w:val="20"/>
          <w:szCs w:val="20"/>
        </w:rPr>
        <w:t>Name:</w:t>
      </w:r>
    </w:p>
    <w:p w:rsidR="00483C9F" w:rsidRPr="007D01E3" w:rsidRDefault="00483C9F" w:rsidP="007D01E3">
      <w:pPr>
        <w:rPr>
          <w:b/>
          <w:sz w:val="20"/>
          <w:szCs w:val="20"/>
        </w:rPr>
      </w:pPr>
    </w:p>
    <w:p w:rsidR="00285968" w:rsidRDefault="007D01E3" w:rsidP="007D01E3">
      <w:pPr>
        <w:rPr>
          <w:b/>
          <w:sz w:val="20"/>
          <w:szCs w:val="20"/>
        </w:rPr>
      </w:pPr>
      <w:r w:rsidRPr="007D01E3">
        <w:rPr>
          <w:b/>
          <w:sz w:val="20"/>
          <w:szCs w:val="20"/>
        </w:rPr>
        <w:t>Email:</w:t>
      </w:r>
    </w:p>
    <w:p w:rsidR="00483C9F" w:rsidRPr="00483C9F" w:rsidRDefault="00483C9F" w:rsidP="00483C9F">
      <w:pPr>
        <w:shd w:val="clear" w:color="auto" w:fill="FFFFFF"/>
        <w:spacing w:after="0" w:line="240" w:lineRule="auto"/>
        <w:ind w:left="720" w:right="900"/>
        <w:jc w:val="both"/>
        <w:textAlignment w:val="baseline"/>
        <w:rPr>
          <w:rFonts w:ascii="Palatino Linotype,Arial" w:eastAsia="Palatino Linotype,Arial" w:hAnsi="Palatino Linotype,Arial" w:cs="Palatino Linotype,Arial"/>
          <w:color w:val="222222"/>
          <w:sz w:val="20"/>
          <w:szCs w:val="20"/>
        </w:rPr>
      </w:pPr>
      <w:r w:rsidRPr="00483C9F">
        <w:rPr>
          <w:rFonts w:ascii="Palatino Linotype,Arial" w:eastAsia="Palatino Linotype,Arial" w:hAnsi="Palatino Linotype,Arial" w:cs="Palatino Linotype,Arial"/>
          <w:color w:val="222222"/>
          <w:sz w:val="20"/>
          <w:szCs w:val="20"/>
        </w:rPr>
        <w:t>This activity has been planned and implemented in accordance with the Accreditation Requirements and Policies of the Medical Society of the State of New York (MSSNY) through the joint providership of the Westchester Academy of Medicine (WAM) and PM Pediatrics Management Group. WAM is accredited by MSSNY to provide Continuing Medical Education for physicians.</w:t>
      </w:r>
    </w:p>
    <w:p w:rsidR="00483C9F" w:rsidRPr="00483C9F" w:rsidRDefault="00483C9F" w:rsidP="00483C9F">
      <w:pPr>
        <w:shd w:val="clear" w:color="auto" w:fill="FFFFFF"/>
        <w:spacing w:after="0" w:line="240" w:lineRule="auto"/>
        <w:ind w:left="720" w:right="900"/>
        <w:jc w:val="both"/>
        <w:textAlignment w:val="baseline"/>
        <w:rPr>
          <w:rFonts w:ascii="Palatino Linotype,Arial" w:eastAsia="Palatino Linotype,Arial" w:hAnsi="Palatino Linotype,Arial" w:cs="Palatino Linotype,Arial"/>
          <w:color w:val="222222"/>
          <w:sz w:val="20"/>
          <w:szCs w:val="20"/>
        </w:rPr>
      </w:pPr>
      <w:r w:rsidRPr="00483C9F">
        <w:rPr>
          <w:rFonts w:ascii="Palatino Linotype,Arial" w:eastAsia="Palatino Linotype,Arial" w:hAnsi="Palatino Linotype,Arial" w:cs="Palatino Linotype,Arial"/>
          <w:color w:val="222222"/>
          <w:sz w:val="20"/>
          <w:szCs w:val="20"/>
        </w:rPr>
        <w:t> </w:t>
      </w:r>
    </w:p>
    <w:p w:rsidR="00483C9F" w:rsidRPr="00483C9F" w:rsidRDefault="00483C9F" w:rsidP="00483C9F">
      <w:pPr>
        <w:shd w:val="clear" w:color="auto" w:fill="FFFFFF"/>
        <w:spacing w:after="0" w:line="240" w:lineRule="auto"/>
        <w:ind w:left="720" w:right="900"/>
        <w:jc w:val="both"/>
        <w:textAlignment w:val="baseline"/>
        <w:rPr>
          <w:rFonts w:ascii="Palatino Linotype" w:eastAsia="Times New Roman" w:hAnsi="Palatino Linotype" w:cs="Arial"/>
          <w:color w:val="222222"/>
          <w:sz w:val="20"/>
          <w:szCs w:val="20"/>
        </w:rPr>
      </w:pPr>
      <w:r w:rsidRPr="00483C9F">
        <w:rPr>
          <w:rFonts w:ascii="Palatino Linotype,Arial" w:eastAsia="Palatino Linotype,Arial" w:hAnsi="Palatino Linotype,Arial" w:cs="Palatino Linotype,Arial"/>
          <w:color w:val="222222"/>
          <w:sz w:val="20"/>
          <w:szCs w:val="20"/>
        </w:rPr>
        <w:t xml:space="preserve">WAM designates this live activity for a maximum of </w:t>
      </w:r>
      <w:r>
        <w:rPr>
          <w:rFonts w:ascii="Palatino Linotype,Arial" w:eastAsia="Palatino Linotype,Arial" w:hAnsi="Palatino Linotype,Arial" w:cs="Palatino Linotype,Arial"/>
          <w:color w:val="222222"/>
          <w:sz w:val="20"/>
          <w:szCs w:val="20"/>
        </w:rPr>
        <w:t>6</w:t>
      </w:r>
      <w:r w:rsidRPr="00483C9F">
        <w:rPr>
          <w:rFonts w:ascii="Palatino Linotype,Arial" w:eastAsia="Palatino Linotype,Arial" w:hAnsi="Palatino Linotype,Arial" w:cs="Palatino Linotype,Arial"/>
          <w:color w:val="222222"/>
          <w:sz w:val="20"/>
          <w:szCs w:val="20"/>
        </w:rPr>
        <w:t xml:space="preserve"> </w:t>
      </w:r>
      <w:r w:rsidRPr="00483C9F">
        <w:rPr>
          <w:rFonts w:ascii="Palatino Linotype,Arial" w:eastAsia="Palatino Linotype,Arial" w:hAnsi="Palatino Linotype,Arial" w:cs="Palatino Linotype,Arial"/>
          <w:b/>
          <w:bCs/>
          <w:i/>
          <w:iCs/>
          <w:color w:val="222222"/>
          <w:sz w:val="20"/>
          <w:szCs w:val="20"/>
        </w:rPr>
        <w:t>AMA PRA Category I Credits</w:t>
      </w:r>
      <w:r w:rsidRPr="00483C9F">
        <w:rPr>
          <w:rFonts w:ascii="Palatino Linotype,Arial" w:eastAsia="Palatino Linotype,Arial" w:hAnsi="Palatino Linotype,Arial" w:cs="Palatino Linotype,Arial"/>
          <w:b/>
          <w:bCs/>
          <w:color w:val="222222"/>
          <w:sz w:val="20"/>
          <w:szCs w:val="20"/>
        </w:rPr>
        <w:t>™</w:t>
      </w:r>
      <w:r w:rsidRPr="00483C9F">
        <w:rPr>
          <w:rFonts w:ascii="Palatino Linotype,Arial" w:eastAsia="Palatino Linotype,Arial" w:hAnsi="Palatino Linotype,Arial" w:cs="Palatino Linotype,Arial"/>
          <w:i/>
          <w:iCs/>
          <w:color w:val="222222"/>
          <w:sz w:val="20"/>
          <w:szCs w:val="20"/>
        </w:rPr>
        <w:t>.</w:t>
      </w:r>
      <w:r w:rsidRPr="00483C9F">
        <w:rPr>
          <w:rFonts w:ascii="Palatino Linotype,Arial" w:eastAsia="Palatino Linotype,Arial" w:hAnsi="Palatino Linotype,Arial" w:cs="Palatino Linotype,Arial"/>
          <w:color w:val="222222"/>
          <w:sz w:val="20"/>
          <w:szCs w:val="20"/>
        </w:rPr>
        <w:t>  Physicians should claim only the credit commensurate with the extent of their participation in the activity.</w:t>
      </w:r>
    </w:p>
    <w:p w:rsidR="00483C9F" w:rsidRPr="00483C9F" w:rsidRDefault="00483C9F" w:rsidP="00483C9F">
      <w:pPr>
        <w:shd w:val="clear" w:color="auto" w:fill="FFFFFF"/>
        <w:spacing w:after="0" w:line="240" w:lineRule="auto"/>
        <w:ind w:left="720" w:right="900"/>
        <w:jc w:val="both"/>
        <w:textAlignment w:val="baseline"/>
        <w:rPr>
          <w:rFonts w:ascii="Palatino Linotype,Arial" w:eastAsia="Palatino Linotype,Arial" w:hAnsi="Palatino Linotype,Arial" w:cs="Palatino Linotype,Arial"/>
          <w:color w:val="222222"/>
          <w:sz w:val="20"/>
          <w:szCs w:val="20"/>
        </w:rPr>
      </w:pPr>
      <w:r w:rsidRPr="00483C9F">
        <w:rPr>
          <w:rFonts w:ascii="Palatino Linotype,Arial" w:eastAsia="Palatino Linotype,Arial" w:hAnsi="Palatino Linotype,Arial" w:cs="Palatino Linotype,Arial"/>
          <w:color w:val="222222"/>
          <w:sz w:val="20"/>
          <w:szCs w:val="20"/>
        </w:rPr>
        <w:t> </w:t>
      </w:r>
    </w:p>
    <w:p w:rsidR="00483C9F" w:rsidRDefault="00483C9F" w:rsidP="007D01E3">
      <w:pPr>
        <w:rPr>
          <w:b/>
          <w:sz w:val="20"/>
          <w:szCs w:val="20"/>
        </w:rPr>
      </w:pPr>
    </w:p>
    <w:p w:rsidR="0042309F" w:rsidRPr="0042309F" w:rsidRDefault="0042309F" w:rsidP="0042309F">
      <w:pPr>
        <w:jc w:val="center"/>
        <w:rPr>
          <w:b/>
          <w:szCs w:val="20"/>
        </w:rPr>
      </w:pPr>
      <w:bookmarkStart w:id="0" w:name="_GoBack"/>
    </w:p>
    <w:p w:rsidR="0042309F" w:rsidRPr="0042309F" w:rsidRDefault="0042309F" w:rsidP="0042309F">
      <w:pPr>
        <w:jc w:val="center"/>
        <w:rPr>
          <w:b/>
          <w:szCs w:val="20"/>
        </w:rPr>
      </w:pPr>
      <w:r w:rsidRPr="0042309F">
        <w:rPr>
          <w:b/>
          <w:szCs w:val="20"/>
        </w:rPr>
        <w:t xml:space="preserve">Please e-mail your forms to Andre Persaud at </w:t>
      </w:r>
      <w:hyperlink r:id="rId6" w:history="1">
        <w:r w:rsidRPr="0042309F">
          <w:rPr>
            <w:rStyle w:val="Hyperlink"/>
            <w:b/>
            <w:szCs w:val="20"/>
          </w:rPr>
          <w:t>apersaud@pmpediatrics.com</w:t>
        </w:r>
      </w:hyperlink>
      <w:r w:rsidRPr="0042309F">
        <w:rPr>
          <w:b/>
          <w:szCs w:val="20"/>
        </w:rPr>
        <w:t xml:space="preserve"> or fax to 914-764-7658</w:t>
      </w:r>
      <w:bookmarkEnd w:id="0"/>
    </w:p>
    <w:sectPr w:rsidR="0042309F" w:rsidRPr="0042309F" w:rsidSect="0002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Arial">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EDC"/>
    <w:multiLevelType w:val="hybridMultilevel"/>
    <w:tmpl w:val="2780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40C2E"/>
    <w:multiLevelType w:val="hybridMultilevel"/>
    <w:tmpl w:val="C292C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37EBC"/>
    <w:multiLevelType w:val="hybridMultilevel"/>
    <w:tmpl w:val="8848DA60"/>
    <w:lvl w:ilvl="0" w:tplc="C3C63F12">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A578E"/>
    <w:multiLevelType w:val="hybridMultilevel"/>
    <w:tmpl w:val="342A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C5924"/>
    <w:multiLevelType w:val="hybridMultilevel"/>
    <w:tmpl w:val="F2065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F370B9"/>
    <w:multiLevelType w:val="hybridMultilevel"/>
    <w:tmpl w:val="5906B9BE"/>
    <w:lvl w:ilvl="0" w:tplc="A8509A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D5A99"/>
    <w:multiLevelType w:val="hybridMultilevel"/>
    <w:tmpl w:val="5F9E8A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EF21DC"/>
    <w:multiLevelType w:val="hybridMultilevel"/>
    <w:tmpl w:val="FC0C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E1A1B"/>
    <w:multiLevelType w:val="hybridMultilevel"/>
    <w:tmpl w:val="C3F63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427979"/>
    <w:multiLevelType w:val="hybridMultilevel"/>
    <w:tmpl w:val="E27C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C7D2C"/>
    <w:multiLevelType w:val="hybridMultilevel"/>
    <w:tmpl w:val="A6F48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B8676B"/>
    <w:multiLevelType w:val="hybridMultilevel"/>
    <w:tmpl w:val="9A6EEB8E"/>
    <w:lvl w:ilvl="0" w:tplc="C3C63F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A7920"/>
    <w:multiLevelType w:val="hybridMultilevel"/>
    <w:tmpl w:val="85242C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D339B3"/>
    <w:multiLevelType w:val="hybridMultilevel"/>
    <w:tmpl w:val="A09AB0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CD78E1"/>
    <w:multiLevelType w:val="hybridMultilevel"/>
    <w:tmpl w:val="5AAAC9B0"/>
    <w:lvl w:ilvl="0" w:tplc="A8509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991796"/>
    <w:multiLevelType w:val="hybridMultilevel"/>
    <w:tmpl w:val="42B0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54C87"/>
    <w:multiLevelType w:val="hybridMultilevel"/>
    <w:tmpl w:val="23E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F4F4C"/>
    <w:multiLevelType w:val="hybridMultilevel"/>
    <w:tmpl w:val="21C04DE2"/>
    <w:lvl w:ilvl="0" w:tplc="71369A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6C13EE"/>
    <w:multiLevelType w:val="hybridMultilevel"/>
    <w:tmpl w:val="1C7AE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8"/>
  </w:num>
  <w:num w:numId="3">
    <w:abstractNumId w:val="10"/>
  </w:num>
  <w:num w:numId="4">
    <w:abstractNumId w:val="6"/>
  </w:num>
  <w:num w:numId="5">
    <w:abstractNumId w:val="1"/>
  </w:num>
  <w:num w:numId="6">
    <w:abstractNumId w:val="14"/>
  </w:num>
  <w:num w:numId="7">
    <w:abstractNumId w:val="5"/>
  </w:num>
  <w:num w:numId="8">
    <w:abstractNumId w:val="12"/>
  </w:num>
  <w:num w:numId="9">
    <w:abstractNumId w:val="13"/>
  </w:num>
  <w:num w:numId="10">
    <w:abstractNumId w:val="7"/>
  </w:num>
  <w:num w:numId="11">
    <w:abstractNumId w:val="15"/>
  </w:num>
  <w:num w:numId="12">
    <w:abstractNumId w:val="17"/>
  </w:num>
  <w:num w:numId="13">
    <w:abstractNumId w:val="4"/>
  </w:num>
  <w:num w:numId="14">
    <w:abstractNumId w:val="2"/>
  </w:num>
  <w:num w:numId="15">
    <w:abstractNumId w:val="11"/>
  </w:num>
  <w:num w:numId="16">
    <w:abstractNumId w:val="0"/>
  </w:num>
  <w:num w:numId="17">
    <w:abstractNumId w:val="16"/>
  </w:num>
  <w:num w:numId="18">
    <w:abstractNumId w:val="8"/>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LAwNDK2NLEwNrE0MTBX0lEKTi0uzszPAykwtKwFAMUNZJgtAAAA"/>
    <w:docVar w:name="dgnword-docGUID" w:val="{DAF62FD4-37E2-4315-83BE-C2AF83DEAAD6}"/>
    <w:docVar w:name="dgnword-eventsink" w:val="403795904"/>
  </w:docVars>
  <w:rsids>
    <w:rsidRoot w:val="00D57D57"/>
    <w:rsid w:val="00006A08"/>
    <w:rsid w:val="00023332"/>
    <w:rsid w:val="00023779"/>
    <w:rsid w:val="00024A89"/>
    <w:rsid w:val="000277EC"/>
    <w:rsid w:val="000310A6"/>
    <w:rsid w:val="00031FAB"/>
    <w:rsid w:val="000402CD"/>
    <w:rsid w:val="00045A05"/>
    <w:rsid w:val="0005123D"/>
    <w:rsid w:val="00051976"/>
    <w:rsid w:val="00052C32"/>
    <w:rsid w:val="0005707C"/>
    <w:rsid w:val="00061E0A"/>
    <w:rsid w:val="000665CA"/>
    <w:rsid w:val="00080E41"/>
    <w:rsid w:val="000877C6"/>
    <w:rsid w:val="0009300B"/>
    <w:rsid w:val="000B3BFA"/>
    <w:rsid w:val="000C1EC6"/>
    <w:rsid w:val="000D5D87"/>
    <w:rsid w:val="001112E7"/>
    <w:rsid w:val="00113450"/>
    <w:rsid w:val="0011356B"/>
    <w:rsid w:val="00120388"/>
    <w:rsid w:val="00121DD6"/>
    <w:rsid w:val="001242F1"/>
    <w:rsid w:val="00130E15"/>
    <w:rsid w:val="001471A1"/>
    <w:rsid w:val="001666D0"/>
    <w:rsid w:val="0017301D"/>
    <w:rsid w:val="0017698A"/>
    <w:rsid w:val="00180D97"/>
    <w:rsid w:val="00180E37"/>
    <w:rsid w:val="00181F1C"/>
    <w:rsid w:val="001840B1"/>
    <w:rsid w:val="00184794"/>
    <w:rsid w:val="00187AE9"/>
    <w:rsid w:val="0019020C"/>
    <w:rsid w:val="001920D8"/>
    <w:rsid w:val="001A07B8"/>
    <w:rsid w:val="001A6572"/>
    <w:rsid w:val="001B73B7"/>
    <w:rsid w:val="001C0439"/>
    <w:rsid w:val="001D0624"/>
    <w:rsid w:val="001D500A"/>
    <w:rsid w:val="001D5C2C"/>
    <w:rsid w:val="001F0ED8"/>
    <w:rsid w:val="0020214D"/>
    <w:rsid w:val="00202CDF"/>
    <w:rsid w:val="00204D65"/>
    <w:rsid w:val="0020587B"/>
    <w:rsid w:val="00207D94"/>
    <w:rsid w:val="00211AC7"/>
    <w:rsid w:val="0021353D"/>
    <w:rsid w:val="002214C0"/>
    <w:rsid w:val="00234ED9"/>
    <w:rsid w:val="00244DA6"/>
    <w:rsid w:val="002612A7"/>
    <w:rsid w:val="002663A4"/>
    <w:rsid w:val="00271162"/>
    <w:rsid w:val="00276167"/>
    <w:rsid w:val="0028144A"/>
    <w:rsid w:val="00285968"/>
    <w:rsid w:val="0028598B"/>
    <w:rsid w:val="002863B5"/>
    <w:rsid w:val="00286CAD"/>
    <w:rsid w:val="00290A28"/>
    <w:rsid w:val="002A6906"/>
    <w:rsid w:val="002B1241"/>
    <w:rsid w:val="002B3757"/>
    <w:rsid w:val="002B51C0"/>
    <w:rsid w:val="002B7CCC"/>
    <w:rsid w:val="002C0910"/>
    <w:rsid w:val="002C17F1"/>
    <w:rsid w:val="002D18A0"/>
    <w:rsid w:val="002D3F1E"/>
    <w:rsid w:val="002D6CB1"/>
    <w:rsid w:val="002E35DD"/>
    <w:rsid w:val="00304522"/>
    <w:rsid w:val="00304D7D"/>
    <w:rsid w:val="00311EFE"/>
    <w:rsid w:val="0031478B"/>
    <w:rsid w:val="00314D5E"/>
    <w:rsid w:val="00321C6D"/>
    <w:rsid w:val="00323F55"/>
    <w:rsid w:val="00332C4F"/>
    <w:rsid w:val="00334658"/>
    <w:rsid w:val="00342FBF"/>
    <w:rsid w:val="003438A1"/>
    <w:rsid w:val="00343D88"/>
    <w:rsid w:val="00344CC4"/>
    <w:rsid w:val="00350412"/>
    <w:rsid w:val="00350E36"/>
    <w:rsid w:val="003520D0"/>
    <w:rsid w:val="00353B62"/>
    <w:rsid w:val="00354F9E"/>
    <w:rsid w:val="003637C4"/>
    <w:rsid w:val="00366C3E"/>
    <w:rsid w:val="00372218"/>
    <w:rsid w:val="00373151"/>
    <w:rsid w:val="00374954"/>
    <w:rsid w:val="00375545"/>
    <w:rsid w:val="00382C58"/>
    <w:rsid w:val="00382EDB"/>
    <w:rsid w:val="00384F9B"/>
    <w:rsid w:val="003B4A77"/>
    <w:rsid w:val="003B74E3"/>
    <w:rsid w:val="003C0BBA"/>
    <w:rsid w:val="003C4036"/>
    <w:rsid w:val="003C6155"/>
    <w:rsid w:val="003D45E5"/>
    <w:rsid w:val="003D7D32"/>
    <w:rsid w:val="003E0BC9"/>
    <w:rsid w:val="003E7EA8"/>
    <w:rsid w:val="003F2508"/>
    <w:rsid w:val="003F5C23"/>
    <w:rsid w:val="003F74EC"/>
    <w:rsid w:val="004019BB"/>
    <w:rsid w:val="0041165A"/>
    <w:rsid w:val="00411BB0"/>
    <w:rsid w:val="00414067"/>
    <w:rsid w:val="00420D25"/>
    <w:rsid w:val="004211CA"/>
    <w:rsid w:val="004225F8"/>
    <w:rsid w:val="0042309F"/>
    <w:rsid w:val="004247B7"/>
    <w:rsid w:val="004460EE"/>
    <w:rsid w:val="004465EF"/>
    <w:rsid w:val="004501D1"/>
    <w:rsid w:val="00450EB1"/>
    <w:rsid w:val="00451152"/>
    <w:rsid w:val="004572C7"/>
    <w:rsid w:val="0046138E"/>
    <w:rsid w:val="0046448E"/>
    <w:rsid w:val="0046612F"/>
    <w:rsid w:val="00473FBC"/>
    <w:rsid w:val="00477173"/>
    <w:rsid w:val="00482A79"/>
    <w:rsid w:val="00483C9F"/>
    <w:rsid w:val="0049185D"/>
    <w:rsid w:val="004966EE"/>
    <w:rsid w:val="004A1562"/>
    <w:rsid w:val="004A42A0"/>
    <w:rsid w:val="004A4CE3"/>
    <w:rsid w:val="004A68F3"/>
    <w:rsid w:val="004A731B"/>
    <w:rsid w:val="004C2458"/>
    <w:rsid w:val="004C6C6A"/>
    <w:rsid w:val="004D119E"/>
    <w:rsid w:val="004D1D85"/>
    <w:rsid w:val="004D338D"/>
    <w:rsid w:val="004D4391"/>
    <w:rsid w:val="004E05A4"/>
    <w:rsid w:val="004E1C29"/>
    <w:rsid w:val="004E246B"/>
    <w:rsid w:val="004E2B67"/>
    <w:rsid w:val="004F05A5"/>
    <w:rsid w:val="00503A14"/>
    <w:rsid w:val="005069A0"/>
    <w:rsid w:val="00506E0E"/>
    <w:rsid w:val="0051350E"/>
    <w:rsid w:val="0052185C"/>
    <w:rsid w:val="00522DC6"/>
    <w:rsid w:val="00536D8D"/>
    <w:rsid w:val="00543F9D"/>
    <w:rsid w:val="00552BA2"/>
    <w:rsid w:val="00561048"/>
    <w:rsid w:val="00564FF5"/>
    <w:rsid w:val="00572BD5"/>
    <w:rsid w:val="00584460"/>
    <w:rsid w:val="00593F44"/>
    <w:rsid w:val="00595C09"/>
    <w:rsid w:val="005A3BE6"/>
    <w:rsid w:val="005B67A4"/>
    <w:rsid w:val="005B6FF9"/>
    <w:rsid w:val="005C2322"/>
    <w:rsid w:val="005D0883"/>
    <w:rsid w:val="005D24BF"/>
    <w:rsid w:val="005D2C6B"/>
    <w:rsid w:val="005D78DD"/>
    <w:rsid w:val="005D7C6B"/>
    <w:rsid w:val="005E074D"/>
    <w:rsid w:val="0060311E"/>
    <w:rsid w:val="00623140"/>
    <w:rsid w:val="00626C32"/>
    <w:rsid w:val="0063107B"/>
    <w:rsid w:val="00640E5C"/>
    <w:rsid w:val="00642ABE"/>
    <w:rsid w:val="00654616"/>
    <w:rsid w:val="0065614F"/>
    <w:rsid w:val="00663938"/>
    <w:rsid w:val="006653C9"/>
    <w:rsid w:val="00665621"/>
    <w:rsid w:val="00666353"/>
    <w:rsid w:val="00671BD3"/>
    <w:rsid w:val="00675410"/>
    <w:rsid w:val="00690396"/>
    <w:rsid w:val="00690BD1"/>
    <w:rsid w:val="0069435B"/>
    <w:rsid w:val="006948B5"/>
    <w:rsid w:val="006A11E7"/>
    <w:rsid w:val="006A164E"/>
    <w:rsid w:val="006A253D"/>
    <w:rsid w:val="006A6942"/>
    <w:rsid w:val="006B39E7"/>
    <w:rsid w:val="006C088E"/>
    <w:rsid w:val="006D0128"/>
    <w:rsid w:val="006D701D"/>
    <w:rsid w:val="006E249A"/>
    <w:rsid w:val="006F31A9"/>
    <w:rsid w:val="00700718"/>
    <w:rsid w:val="007071BF"/>
    <w:rsid w:val="00711576"/>
    <w:rsid w:val="00714D06"/>
    <w:rsid w:val="007357DC"/>
    <w:rsid w:val="00741424"/>
    <w:rsid w:val="007415C8"/>
    <w:rsid w:val="00741EF7"/>
    <w:rsid w:val="00745135"/>
    <w:rsid w:val="00750503"/>
    <w:rsid w:val="00750C6A"/>
    <w:rsid w:val="00753399"/>
    <w:rsid w:val="007560E7"/>
    <w:rsid w:val="00760E5B"/>
    <w:rsid w:val="00761D29"/>
    <w:rsid w:val="00763D4F"/>
    <w:rsid w:val="00763E8B"/>
    <w:rsid w:val="00774FC5"/>
    <w:rsid w:val="0078078D"/>
    <w:rsid w:val="00784204"/>
    <w:rsid w:val="00786FFD"/>
    <w:rsid w:val="00792A19"/>
    <w:rsid w:val="00794C85"/>
    <w:rsid w:val="00795242"/>
    <w:rsid w:val="007A2509"/>
    <w:rsid w:val="007A551E"/>
    <w:rsid w:val="007B0779"/>
    <w:rsid w:val="007B3322"/>
    <w:rsid w:val="007C65FB"/>
    <w:rsid w:val="007D01E3"/>
    <w:rsid w:val="007D7558"/>
    <w:rsid w:val="007E0BBF"/>
    <w:rsid w:val="007E3777"/>
    <w:rsid w:val="007E4834"/>
    <w:rsid w:val="007E5A5E"/>
    <w:rsid w:val="007E67F4"/>
    <w:rsid w:val="007F0929"/>
    <w:rsid w:val="0080367C"/>
    <w:rsid w:val="008056EA"/>
    <w:rsid w:val="008146CF"/>
    <w:rsid w:val="008147A2"/>
    <w:rsid w:val="00816439"/>
    <w:rsid w:val="00817373"/>
    <w:rsid w:val="0083241C"/>
    <w:rsid w:val="00837B27"/>
    <w:rsid w:val="0084137E"/>
    <w:rsid w:val="00845D9E"/>
    <w:rsid w:val="008656EB"/>
    <w:rsid w:val="00867B62"/>
    <w:rsid w:val="00877632"/>
    <w:rsid w:val="00880A5C"/>
    <w:rsid w:val="00882CEA"/>
    <w:rsid w:val="008906AA"/>
    <w:rsid w:val="00893494"/>
    <w:rsid w:val="00896544"/>
    <w:rsid w:val="008A6CA7"/>
    <w:rsid w:val="008C1BE2"/>
    <w:rsid w:val="008C363E"/>
    <w:rsid w:val="008C4D59"/>
    <w:rsid w:val="008E3A5A"/>
    <w:rsid w:val="008E494C"/>
    <w:rsid w:val="008E5804"/>
    <w:rsid w:val="008F2E61"/>
    <w:rsid w:val="008F3FD4"/>
    <w:rsid w:val="008F59F9"/>
    <w:rsid w:val="00901E74"/>
    <w:rsid w:val="009151F7"/>
    <w:rsid w:val="00917C0F"/>
    <w:rsid w:val="009208D5"/>
    <w:rsid w:val="00921AE3"/>
    <w:rsid w:val="009238B6"/>
    <w:rsid w:val="0092798E"/>
    <w:rsid w:val="00932DF9"/>
    <w:rsid w:val="0093540C"/>
    <w:rsid w:val="00936CE3"/>
    <w:rsid w:val="00945783"/>
    <w:rsid w:val="0095048D"/>
    <w:rsid w:val="00954F30"/>
    <w:rsid w:val="0095519B"/>
    <w:rsid w:val="00955236"/>
    <w:rsid w:val="00975889"/>
    <w:rsid w:val="009855C6"/>
    <w:rsid w:val="00985C56"/>
    <w:rsid w:val="009862A2"/>
    <w:rsid w:val="00993669"/>
    <w:rsid w:val="0099430F"/>
    <w:rsid w:val="009B0935"/>
    <w:rsid w:val="009B284D"/>
    <w:rsid w:val="009B579C"/>
    <w:rsid w:val="009B7125"/>
    <w:rsid w:val="009C0C8A"/>
    <w:rsid w:val="009C0F7A"/>
    <w:rsid w:val="009C5FF6"/>
    <w:rsid w:val="009C7467"/>
    <w:rsid w:val="009D21ED"/>
    <w:rsid w:val="009D7C53"/>
    <w:rsid w:val="00A026AF"/>
    <w:rsid w:val="00A0575E"/>
    <w:rsid w:val="00A145EE"/>
    <w:rsid w:val="00A148EB"/>
    <w:rsid w:val="00A14F47"/>
    <w:rsid w:val="00A274D4"/>
    <w:rsid w:val="00A3325A"/>
    <w:rsid w:val="00A33781"/>
    <w:rsid w:val="00A360AF"/>
    <w:rsid w:val="00A47EC5"/>
    <w:rsid w:val="00A51ED4"/>
    <w:rsid w:val="00A543EA"/>
    <w:rsid w:val="00A5763D"/>
    <w:rsid w:val="00A641C8"/>
    <w:rsid w:val="00A700AA"/>
    <w:rsid w:val="00A81F2C"/>
    <w:rsid w:val="00A92F1C"/>
    <w:rsid w:val="00AA4D87"/>
    <w:rsid w:val="00AA5586"/>
    <w:rsid w:val="00AB23BB"/>
    <w:rsid w:val="00AB5069"/>
    <w:rsid w:val="00AC3AD0"/>
    <w:rsid w:val="00AD2CBC"/>
    <w:rsid w:val="00AD2E3E"/>
    <w:rsid w:val="00AD4F64"/>
    <w:rsid w:val="00AD6298"/>
    <w:rsid w:val="00AD7089"/>
    <w:rsid w:val="00AE4CCA"/>
    <w:rsid w:val="00AE5172"/>
    <w:rsid w:val="00B0140C"/>
    <w:rsid w:val="00B01ABC"/>
    <w:rsid w:val="00B04DE1"/>
    <w:rsid w:val="00B10DB8"/>
    <w:rsid w:val="00B112F6"/>
    <w:rsid w:val="00B16421"/>
    <w:rsid w:val="00B24621"/>
    <w:rsid w:val="00B251CA"/>
    <w:rsid w:val="00B2693B"/>
    <w:rsid w:val="00B30F0E"/>
    <w:rsid w:val="00B32C35"/>
    <w:rsid w:val="00B3501E"/>
    <w:rsid w:val="00B405E8"/>
    <w:rsid w:val="00B46850"/>
    <w:rsid w:val="00B512EC"/>
    <w:rsid w:val="00B5426F"/>
    <w:rsid w:val="00B57E7B"/>
    <w:rsid w:val="00B608C2"/>
    <w:rsid w:val="00B60DF5"/>
    <w:rsid w:val="00B676E1"/>
    <w:rsid w:val="00B72794"/>
    <w:rsid w:val="00B72AC2"/>
    <w:rsid w:val="00B77530"/>
    <w:rsid w:val="00B77B31"/>
    <w:rsid w:val="00B818DD"/>
    <w:rsid w:val="00B87956"/>
    <w:rsid w:val="00BA32B8"/>
    <w:rsid w:val="00BA3A2B"/>
    <w:rsid w:val="00BA5E0D"/>
    <w:rsid w:val="00BB43EF"/>
    <w:rsid w:val="00BC2877"/>
    <w:rsid w:val="00BC2DAD"/>
    <w:rsid w:val="00BC3DD5"/>
    <w:rsid w:val="00BC5B3E"/>
    <w:rsid w:val="00BD5ACF"/>
    <w:rsid w:val="00BE7A1A"/>
    <w:rsid w:val="00BF0C32"/>
    <w:rsid w:val="00BF3B34"/>
    <w:rsid w:val="00C013D3"/>
    <w:rsid w:val="00C02620"/>
    <w:rsid w:val="00C0396E"/>
    <w:rsid w:val="00C061F9"/>
    <w:rsid w:val="00C11908"/>
    <w:rsid w:val="00C11A9B"/>
    <w:rsid w:val="00C14F23"/>
    <w:rsid w:val="00C15C37"/>
    <w:rsid w:val="00C20637"/>
    <w:rsid w:val="00C240D3"/>
    <w:rsid w:val="00C24F4D"/>
    <w:rsid w:val="00C34E17"/>
    <w:rsid w:val="00C34EFC"/>
    <w:rsid w:val="00C35D4A"/>
    <w:rsid w:val="00C36730"/>
    <w:rsid w:val="00C379A3"/>
    <w:rsid w:val="00C468A7"/>
    <w:rsid w:val="00C629A1"/>
    <w:rsid w:val="00C921C4"/>
    <w:rsid w:val="00C96CE3"/>
    <w:rsid w:val="00CA2ED5"/>
    <w:rsid w:val="00CA5A45"/>
    <w:rsid w:val="00CB2290"/>
    <w:rsid w:val="00CC043E"/>
    <w:rsid w:val="00CC6363"/>
    <w:rsid w:val="00CC7227"/>
    <w:rsid w:val="00CF6AE0"/>
    <w:rsid w:val="00CF6EBD"/>
    <w:rsid w:val="00D0465B"/>
    <w:rsid w:val="00D066E0"/>
    <w:rsid w:val="00D075B6"/>
    <w:rsid w:val="00D1182E"/>
    <w:rsid w:val="00D132A2"/>
    <w:rsid w:val="00D15402"/>
    <w:rsid w:val="00D16B2D"/>
    <w:rsid w:val="00D407B6"/>
    <w:rsid w:val="00D44436"/>
    <w:rsid w:val="00D46A23"/>
    <w:rsid w:val="00D505CE"/>
    <w:rsid w:val="00D50961"/>
    <w:rsid w:val="00D52E68"/>
    <w:rsid w:val="00D5584D"/>
    <w:rsid w:val="00D55E01"/>
    <w:rsid w:val="00D564D3"/>
    <w:rsid w:val="00D568C8"/>
    <w:rsid w:val="00D57D57"/>
    <w:rsid w:val="00D63C1C"/>
    <w:rsid w:val="00D64E64"/>
    <w:rsid w:val="00D71FEA"/>
    <w:rsid w:val="00D72FC5"/>
    <w:rsid w:val="00D75AEC"/>
    <w:rsid w:val="00D80B32"/>
    <w:rsid w:val="00D81BD8"/>
    <w:rsid w:val="00D93504"/>
    <w:rsid w:val="00DA67FE"/>
    <w:rsid w:val="00DA7AB2"/>
    <w:rsid w:val="00DB2587"/>
    <w:rsid w:val="00DD36F2"/>
    <w:rsid w:val="00DD3825"/>
    <w:rsid w:val="00DE156C"/>
    <w:rsid w:val="00DE688B"/>
    <w:rsid w:val="00DF001D"/>
    <w:rsid w:val="00DF1438"/>
    <w:rsid w:val="00DF3FFA"/>
    <w:rsid w:val="00E04293"/>
    <w:rsid w:val="00E05F01"/>
    <w:rsid w:val="00E13A00"/>
    <w:rsid w:val="00E2646A"/>
    <w:rsid w:val="00E3031D"/>
    <w:rsid w:val="00E32BCE"/>
    <w:rsid w:val="00E3708C"/>
    <w:rsid w:val="00E437E2"/>
    <w:rsid w:val="00E55366"/>
    <w:rsid w:val="00E5692D"/>
    <w:rsid w:val="00E56C07"/>
    <w:rsid w:val="00E60899"/>
    <w:rsid w:val="00E662C5"/>
    <w:rsid w:val="00E67B5E"/>
    <w:rsid w:val="00E72F92"/>
    <w:rsid w:val="00E73075"/>
    <w:rsid w:val="00E74BED"/>
    <w:rsid w:val="00E827A4"/>
    <w:rsid w:val="00E84116"/>
    <w:rsid w:val="00E86DA0"/>
    <w:rsid w:val="00E9068B"/>
    <w:rsid w:val="00E92686"/>
    <w:rsid w:val="00E955B4"/>
    <w:rsid w:val="00E95CF5"/>
    <w:rsid w:val="00E97C87"/>
    <w:rsid w:val="00EA1818"/>
    <w:rsid w:val="00EA44EA"/>
    <w:rsid w:val="00EA48AD"/>
    <w:rsid w:val="00EC01D1"/>
    <w:rsid w:val="00EC60A5"/>
    <w:rsid w:val="00ED419E"/>
    <w:rsid w:val="00EE5528"/>
    <w:rsid w:val="00EF47D2"/>
    <w:rsid w:val="00EF4DA6"/>
    <w:rsid w:val="00F226D1"/>
    <w:rsid w:val="00F22CC6"/>
    <w:rsid w:val="00F24483"/>
    <w:rsid w:val="00F32B7D"/>
    <w:rsid w:val="00F36737"/>
    <w:rsid w:val="00F420E6"/>
    <w:rsid w:val="00F44797"/>
    <w:rsid w:val="00F44D6F"/>
    <w:rsid w:val="00F46A0D"/>
    <w:rsid w:val="00F50B66"/>
    <w:rsid w:val="00F50FDB"/>
    <w:rsid w:val="00F536BA"/>
    <w:rsid w:val="00F5399F"/>
    <w:rsid w:val="00F64ECD"/>
    <w:rsid w:val="00F6590B"/>
    <w:rsid w:val="00F67BA5"/>
    <w:rsid w:val="00F70737"/>
    <w:rsid w:val="00F82154"/>
    <w:rsid w:val="00FA4BDB"/>
    <w:rsid w:val="00FC1AA8"/>
    <w:rsid w:val="00FC1D53"/>
    <w:rsid w:val="00FC4C80"/>
    <w:rsid w:val="00FD7FC8"/>
    <w:rsid w:val="00FE1104"/>
    <w:rsid w:val="00FF0577"/>
    <w:rsid w:val="00FF14B5"/>
    <w:rsid w:val="00FF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A05"/>
    <w:pPr>
      <w:ind w:left="720"/>
      <w:contextualSpacing/>
    </w:pPr>
  </w:style>
  <w:style w:type="paragraph" w:styleId="NoSpacing">
    <w:name w:val="No Spacing"/>
    <w:uiPriority w:val="1"/>
    <w:qFormat/>
    <w:rsid w:val="007D01E3"/>
    <w:pPr>
      <w:spacing w:after="0" w:line="240" w:lineRule="auto"/>
    </w:pPr>
  </w:style>
  <w:style w:type="character" w:styleId="Hyperlink">
    <w:name w:val="Hyperlink"/>
    <w:basedOn w:val="DefaultParagraphFont"/>
    <w:uiPriority w:val="99"/>
    <w:unhideWhenUsed/>
    <w:rsid w:val="004230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A05"/>
    <w:pPr>
      <w:ind w:left="720"/>
      <w:contextualSpacing/>
    </w:pPr>
  </w:style>
  <w:style w:type="paragraph" w:styleId="NoSpacing">
    <w:name w:val="No Spacing"/>
    <w:uiPriority w:val="1"/>
    <w:qFormat/>
    <w:rsid w:val="007D01E3"/>
    <w:pPr>
      <w:spacing w:after="0" w:line="240" w:lineRule="auto"/>
    </w:pPr>
  </w:style>
  <w:style w:type="character" w:styleId="Hyperlink">
    <w:name w:val="Hyperlink"/>
    <w:basedOn w:val="DefaultParagraphFont"/>
    <w:uiPriority w:val="99"/>
    <w:unhideWhenUsed/>
    <w:rsid w:val="00423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ersaud@pmpediatric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SV-06</dc:creator>
  <cp:lastModifiedBy>mhenry</cp:lastModifiedBy>
  <cp:revision>2</cp:revision>
  <cp:lastPrinted>2015-12-31T19:18:00Z</cp:lastPrinted>
  <dcterms:created xsi:type="dcterms:W3CDTF">2017-03-30T18:46:00Z</dcterms:created>
  <dcterms:modified xsi:type="dcterms:W3CDTF">2017-03-30T18:46:00Z</dcterms:modified>
</cp:coreProperties>
</file>